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AB4039" w14:textId="0FE783DB" w:rsidR="007D19A4" w:rsidRPr="00807A5F" w:rsidRDefault="0083420A" w:rsidP="00362BDC">
      <w:pPr>
        <w:pBdr>
          <w:top w:val="single" w:sz="24" w:space="8" w:color="402313"/>
          <w:bottom w:val="single" w:sz="24" w:space="3" w:color="402313"/>
        </w:pBdr>
        <w:spacing w:after="0" w:line="312" w:lineRule="auto"/>
        <w:rPr>
          <w:rFonts w:eastAsia="Times New Roman" w:cs="Arial"/>
          <w:b/>
          <w:color w:val="auto"/>
          <w:sz w:val="40"/>
          <w:szCs w:val="24"/>
          <w:lang w:eastAsia="en-GB"/>
        </w:rPr>
      </w:pPr>
      <w:bookmarkStart w:id="0" w:name="_GoBack"/>
      <w:bookmarkEnd w:id="0"/>
      <w:r w:rsidRPr="00A37B46">
        <w:rPr>
          <w:noProof/>
          <w:lang w:eastAsia="en-GB"/>
        </w:rPr>
        <w:drawing>
          <wp:anchor distT="0" distB="0" distL="114300" distR="114300" simplePos="0" relativeHeight="251658240" behindDoc="1" locked="0" layoutInCell="1" allowOverlap="1" wp14:anchorId="130C5FCF" wp14:editId="4FE0FBCF">
            <wp:simplePos x="0" y="0"/>
            <wp:positionH relativeFrom="column">
              <wp:posOffset>8114982</wp:posOffset>
            </wp:positionH>
            <wp:positionV relativeFrom="paragraph">
              <wp:posOffset>311785</wp:posOffset>
            </wp:positionV>
            <wp:extent cx="1057910" cy="1064260"/>
            <wp:effectExtent l="0" t="0" r="8890" b="2540"/>
            <wp:wrapNone/>
            <wp:docPr id="6" name="Picture 6" descr="C:\Users\Ad\Desktop\LOGO-T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Desktop\LOGO-TIF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91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6AF">
        <w:rPr>
          <w:rFonts w:eastAsia="Times New Roman" w:cs="Arial"/>
          <w:b/>
          <w:color w:val="auto"/>
          <w:sz w:val="40"/>
          <w:szCs w:val="24"/>
          <w:lang w:eastAsia="en-GB"/>
        </w:rPr>
        <w:t>HE Update</w:t>
      </w:r>
      <w:r>
        <w:rPr>
          <w:rFonts w:eastAsia="Times New Roman" w:cs="Arial"/>
          <w:b/>
          <w:color w:val="auto"/>
          <w:sz w:val="40"/>
          <w:szCs w:val="24"/>
          <w:lang w:eastAsia="en-GB"/>
        </w:rPr>
        <w:t xml:space="preserve">       </w:t>
      </w:r>
      <w:r w:rsidR="00FD074D" w:rsidRPr="00867F71">
        <w:rPr>
          <w:rFonts w:eastAsia="Times New Roman" w:cs="Arial"/>
          <w:color w:val="412312"/>
          <w:sz w:val="40"/>
          <w:szCs w:val="24"/>
          <w:lang w:eastAsia="en-GB"/>
        </w:rPr>
        <w:br/>
      </w:r>
      <w:r w:rsidR="00CB1853">
        <w:rPr>
          <w:rFonts w:eastAsia="Times New Roman" w:cs="Arial"/>
          <w:b/>
          <w:color w:val="auto"/>
          <w:sz w:val="40"/>
          <w:szCs w:val="24"/>
          <w:lang w:eastAsia="en-GB"/>
        </w:rPr>
        <w:t>Common risk t</w:t>
      </w:r>
      <w:r w:rsidR="0011572F">
        <w:rPr>
          <w:rFonts w:eastAsia="Times New Roman" w:cs="Arial"/>
          <w:b/>
          <w:color w:val="auto"/>
          <w:sz w:val="40"/>
          <w:szCs w:val="24"/>
          <w:lang w:eastAsia="en-GB"/>
        </w:rPr>
        <w:t>hemes</w:t>
      </w:r>
      <w:r w:rsidR="00CB1853">
        <w:rPr>
          <w:rFonts w:eastAsia="Times New Roman" w:cs="Arial"/>
          <w:b/>
          <w:color w:val="auto"/>
          <w:sz w:val="40"/>
          <w:szCs w:val="24"/>
          <w:lang w:eastAsia="en-GB"/>
        </w:rPr>
        <w:t xml:space="preserve"> in institutional risk registers</w:t>
      </w:r>
    </w:p>
    <w:p w14:paraId="35AB403A" w14:textId="555D1962" w:rsidR="00FD074D" w:rsidRPr="00DD26AF" w:rsidRDefault="00D77CCB" w:rsidP="00362BDC">
      <w:pPr>
        <w:pBdr>
          <w:top w:val="single" w:sz="24" w:space="8" w:color="402313"/>
          <w:bottom w:val="single" w:sz="24" w:space="3" w:color="402313"/>
        </w:pBdr>
        <w:spacing w:after="0" w:line="312" w:lineRule="auto"/>
        <w:rPr>
          <w:rFonts w:eastAsia="Times New Roman" w:cs="Arial"/>
          <w:color w:val="auto"/>
          <w:sz w:val="40"/>
          <w:szCs w:val="24"/>
          <w:lang w:eastAsia="en-GB"/>
        </w:rPr>
      </w:pPr>
      <w:r>
        <w:rPr>
          <w:rFonts w:eastAsia="Times New Roman" w:cs="Arial"/>
          <w:color w:val="auto"/>
          <w:sz w:val="40"/>
          <w:szCs w:val="24"/>
          <w:lang w:eastAsia="en-GB"/>
        </w:rPr>
        <w:t>May</w:t>
      </w:r>
      <w:r w:rsidR="0011572F">
        <w:rPr>
          <w:rFonts w:eastAsia="Times New Roman" w:cs="Arial"/>
          <w:color w:val="auto"/>
          <w:sz w:val="40"/>
          <w:szCs w:val="24"/>
          <w:lang w:eastAsia="en-GB"/>
        </w:rPr>
        <w:t xml:space="preserve"> 2017</w:t>
      </w:r>
    </w:p>
    <w:p w14:paraId="56730171" w14:textId="740F8187" w:rsidR="0067442F" w:rsidRDefault="00011417" w:rsidP="00362BDC">
      <w:pPr>
        <w:jc w:val="both"/>
        <w:rPr>
          <w:rFonts w:cs="Arial"/>
        </w:rPr>
      </w:pPr>
      <w:r>
        <w:rPr>
          <w:rFonts w:cs="Arial"/>
        </w:rPr>
        <w:t>Risk management is at the heart of good governance – the Financial Reporting Council requires companies to articulate their most significant risks in their annual accounts;</w:t>
      </w:r>
      <w:r w:rsidR="0036441B">
        <w:rPr>
          <w:rFonts w:cs="Arial"/>
        </w:rPr>
        <w:t xml:space="preserve"> the Committee of University Chairs Code of Governance sets </w:t>
      </w:r>
      <w:r w:rsidR="0036441B" w:rsidRPr="00267DBE">
        <w:rPr>
          <w:rFonts w:cs="Arial"/>
          <w:color w:val="auto"/>
        </w:rPr>
        <w:t xml:space="preserve">out </w:t>
      </w:r>
      <w:r w:rsidR="00DE15D3">
        <w:rPr>
          <w:rFonts w:cs="Arial"/>
          <w:color w:val="auto"/>
        </w:rPr>
        <w:t>a</w:t>
      </w:r>
      <w:r w:rsidR="00267DBE" w:rsidRPr="00267DBE">
        <w:rPr>
          <w:rFonts w:cs="Arial"/>
          <w:color w:val="auto"/>
        </w:rPr>
        <w:t xml:space="preserve"> requirement for the governing body to assure themselves that there are effective systems of control and risk management;</w:t>
      </w:r>
      <w:r w:rsidRPr="00267DBE">
        <w:rPr>
          <w:rFonts w:cs="Arial"/>
          <w:color w:val="auto"/>
        </w:rPr>
        <w:t xml:space="preserve"> HEFCE require institutions</w:t>
      </w:r>
      <w:r w:rsidR="0054296C" w:rsidRPr="00267DBE">
        <w:rPr>
          <w:rFonts w:cs="Arial"/>
          <w:color w:val="auto"/>
        </w:rPr>
        <w:t xml:space="preserve"> to un</w:t>
      </w:r>
      <w:r w:rsidR="0054296C">
        <w:rPr>
          <w:rFonts w:cs="Arial"/>
        </w:rPr>
        <w:t xml:space="preserve">dertake risk management and </w:t>
      </w:r>
      <w:r w:rsidR="00DE15D3">
        <w:rPr>
          <w:rFonts w:cs="Arial"/>
        </w:rPr>
        <w:t xml:space="preserve">they </w:t>
      </w:r>
      <w:r w:rsidR="0054296C">
        <w:rPr>
          <w:rFonts w:cs="Arial"/>
        </w:rPr>
        <w:t xml:space="preserve">follow this up as one of the aspects of their </w:t>
      </w:r>
      <w:r w:rsidR="0036441B">
        <w:rPr>
          <w:rFonts w:cs="Arial"/>
        </w:rPr>
        <w:t>five yearly Assurance Review visits.  When operating effectively</w:t>
      </w:r>
      <w:r w:rsidR="00DE15D3">
        <w:rPr>
          <w:rFonts w:cs="Arial"/>
        </w:rPr>
        <w:t>,</w:t>
      </w:r>
      <w:r w:rsidR="0036441B">
        <w:rPr>
          <w:rFonts w:cs="Arial"/>
        </w:rPr>
        <w:t xml:space="preserve"> risk management can be a key element of an organisation’s strategic and operational planning processes – supporting targeted interventions to enable the institution to meet its strategic ambitions.</w:t>
      </w:r>
    </w:p>
    <w:p w14:paraId="2B35AEEA" w14:textId="22E4A5F7" w:rsidR="0067442F" w:rsidRDefault="0067442F" w:rsidP="00362BDC">
      <w:pPr>
        <w:jc w:val="both"/>
        <w:rPr>
          <w:rFonts w:cs="Arial"/>
        </w:rPr>
      </w:pPr>
      <w:r>
        <w:rPr>
          <w:rFonts w:cs="Arial"/>
        </w:rPr>
        <w:t xml:space="preserve">We are undertaking a detailed benchmarking exercise looking at a range of aspects of risk management, including where the greatest value is obtained from risk management systems in institutions and how </w:t>
      </w:r>
      <w:r w:rsidR="00EB0C6D">
        <w:rPr>
          <w:rFonts w:cs="Arial"/>
        </w:rPr>
        <w:t>they</w:t>
      </w:r>
      <w:r>
        <w:rPr>
          <w:rFonts w:cs="Arial"/>
        </w:rPr>
        <w:t xml:space="preserve"> maximise the benefits of the activity.  As an initial output from this work we have undertaken a </w:t>
      </w:r>
      <w:r w:rsidRPr="0009511E">
        <w:rPr>
          <w:rFonts w:cs="Arial"/>
        </w:rPr>
        <w:t>desk top review of risk register</w:t>
      </w:r>
      <w:r>
        <w:rPr>
          <w:rFonts w:cs="Arial"/>
        </w:rPr>
        <w:t>s</w:t>
      </w:r>
      <w:r w:rsidRPr="0009511E">
        <w:rPr>
          <w:rFonts w:cs="Arial"/>
        </w:rPr>
        <w:t xml:space="preserve"> from institutions</w:t>
      </w:r>
      <w:r>
        <w:rPr>
          <w:rFonts w:cs="Arial"/>
        </w:rPr>
        <w:t xml:space="preserve"> that are either members or clients of Uniac; as these range from small specialist providers to a large Russell Group institution some of the risks will be more specific to a particular institution, however this work has shown that there are many that are shared between all institutions, wherever they sit in the sector.  The full benchmarking exercise will cover a wider group of institutions.</w:t>
      </w:r>
    </w:p>
    <w:p w14:paraId="1F785D99" w14:textId="5CD6BB07" w:rsidR="00362BDC" w:rsidRDefault="00362BDC" w:rsidP="00362BDC">
      <w:pPr>
        <w:jc w:val="both"/>
        <w:rPr>
          <w:rFonts w:cs="Arial"/>
        </w:rPr>
      </w:pPr>
      <w:r w:rsidRPr="0009511E">
        <w:rPr>
          <w:rFonts w:cs="Arial"/>
        </w:rPr>
        <w:t xml:space="preserve">The table below details </w:t>
      </w:r>
      <w:r w:rsidR="00CB1853">
        <w:rPr>
          <w:rFonts w:cs="Arial"/>
        </w:rPr>
        <w:t xml:space="preserve">the outcomes of </w:t>
      </w:r>
      <w:r w:rsidR="0067442F">
        <w:rPr>
          <w:rFonts w:cs="Arial"/>
        </w:rPr>
        <w:t xml:space="preserve">the </w:t>
      </w:r>
      <w:r w:rsidRPr="0009511E">
        <w:rPr>
          <w:rFonts w:cs="Arial"/>
        </w:rPr>
        <w:t>desk top review of risk register</w:t>
      </w:r>
      <w:r>
        <w:rPr>
          <w:rFonts w:cs="Arial"/>
        </w:rPr>
        <w:t>s</w:t>
      </w:r>
      <w:r w:rsidR="0067442F">
        <w:rPr>
          <w:rStyle w:val="CommentReference"/>
          <w:rFonts w:ascii="Calibri" w:hAnsi="Calibri"/>
          <w:color w:val="auto"/>
          <w:lang w:val="x-none"/>
        </w:rPr>
        <w:t>.</w:t>
      </w:r>
      <w:r>
        <w:rPr>
          <w:rFonts w:cs="Arial"/>
        </w:rPr>
        <w:t xml:space="preserve">  It shows risk themes – we have not captured risks that are clearly institutionally specific and we have anonymised the actual wording in some cases.  Where appropriate, we have also added comments highlighting, for example, emerging risks and / or where the headline risks are being broken down into further detail.</w:t>
      </w:r>
    </w:p>
    <w:p w14:paraId="35AB403C" w14:textId="738C6183" w:rsidR="009914C2" w:rsidRPr="00D35032" w:rsidRDefault="00CB1853" w:rsidP="00D35032">
      <w:pPr>
        <w:jc w:val="both"/>
        <w:rPr>
          <w:rFonts w:cs="Arial"/>
          <w:b/>
        </w:rPr>
      </w:pPr>
      <w:r>
        <w:rPr>
          <w:rFonts w:cs="Arial"/>
        </w:rPr>
        <w:t>The risk registers reviewed were those submitted to each institution’s Audit Committee, or equivalent, over the Spring 2017 cycle – i.e. meetings held in February and March 2017.</w:t>
      </w:r>
    </w:p>
    <w:tbl>
      <w:tblPr>
        <w:tblStyle w:val="TableGrid"/>
        <w:tblW w:w="14743" w:type="dxa"/>
        <w:tblInd w:w="-5" w:type="dxa"/>
        <w:tblLayout w:type="fixed"/>
        <w:tblLook w:val="04A0" w:firstRow="1" w:lastRow="0" w:firstColumn="1" w:lastColumn="0" w:noHBand="0" w:noVBand="1"/>
      </w:tblPr>
      <w:tblGrid>
        <w:gridCol w:w="7792"/>
        <w:gridCol w:w="6951"/>
      </w:tblGrid>
      <w:tr w:rsidR="00362BDC" w:rsidRPr="00671918" w14:paraId="671B72E5" w14:textId="77777777" w:rsidTr="00362BDC">
        <w:trPr>
          <w:tblHeader/>
        </w:trPr>
        <w:tc>
          <w:tcPr>
            <w:tcW w:w="7792" w:type="dxa"/>
            <w:tcBorders>
              <w:bottom w:val="nil"/>
            </w:tcBorders>
            <w:shd w:val="clear" w:color="auto" w:fill="BFBFBF" w:themeFill="background1" w:themeFillShade="BF"/>
          </w:tcPr>
          <w:p w14:paraId="32017D14" w14:textId="77777777" w:rsidR="00362BDC" w:rsidRPr="00671918" w:rsidRDefault="00362BDC" w:rsidP="001E7E97">
            <w:pPr>
              <w:spacing w:before="120" w:after="120" w:line="269" w:lineRule="auto"/>
              <w:rPr>
                <w:rFonts w:cs="Arial"/>
              </w:rPr>
            </w:pPr>
            <w:r w:rsidRPr="00671918">
              <w:rPr>
                <w:rFonts w:cs="Arial"/>
              </w:rPr>
              <w:t>Risk Themes</w:t>
            </w:r>
          </w:p>
        </w:tc>
        <w:tc>
          <w:tcPr>
            <w:tcW w:w="6951" w:type="dxa"/>
            <w:tcBorders>
              <w:bottom w:val="nil"/>
            </w:tcBorders>
            <w:shd w:val="clear" w:color="auto" w:fill="BFBFBF" w:themeFill="background1" w:themeFillShade="BF"/>
          </w:tcPr>
          <w:p w14:paraId="7E283237" w14:textId="77777777" w:rsidR="00362BDC" w:rsidRPr="00671918" w:rsidRDefault="00362BDC" w:rsidP="00932A6D">
            <w:pPr>
              <w:spacing w:before="120" w:after="120" w:line="269" w:lineRule="auto"/>
              <w:ind w:right="34"/>
              <w:jc w:val="both"/>
              <w:rPr>
                <w:rFonts w:cs="Arial"/>
              </w:rPr>
            </w:pPr>
            <w:r w:rsidRPr="00671918">
              <w:rPr>
                <w:rFonts w:cs="Arial"/>
              </w:rPr>
              <w:t>Comment</w:t>
            </w:r>
          </w:p>
        </w:tc>
      </w:tr>
      <w:tr w:rsidR="00362BDC" w:rsidRPr="00C840FE" w14:paraId="2744B61F" w14:textId="77777777" w:rsidTr="00362BDC">
        <w:tc>
          <w:tcPr>
            <w:tcW w:w="7792" w:type="dxa"/>
            <w:tcBorders>
              <w:top w:val="nil"/>
            </w:tcBorders>
          </w:tcPr>
          <w:p w14:paraId="2313B268" w14:textId="77777777" w:rsidR="00362BDC" w:rsidRPr="0011572F" w:rsidRDefault="00362BDC" w:rsidP="001E7E97">
            <w:pPr>
              <w:spacing w:before="120" w:after="120" w:line="269" w:lineRule="auto"/>
              <w:rPr>
                <w:rFonts w:cs="Arial"/>
                <w:b/>
              </w:rPr>
            </w:pPr>
            <w:r w:rsidRPr="0011572F">
              <w:rPr>
                <w:rFonts w:cs="Arial"/>
              </w:rPr>
              <w:t>Student Recruitment:</w:t>
            </w:r>
          </w:p>
          <w:p w14:paraId="7336BDCB" w14:textId="77777777" w:rsidR="008A56E8" w:rsidRPr="00220DD2" w:rsidRDefault="008A56E8" w:rsidP="008A56E8">
            <w:pPr>
              <w:pStyle w:val="ListParagraph"/>
              <w:numPr>
                <w:ilvl w:val="0"/>
                <w:numId w:val="42"/>
              </w:numPr>
              <w:spacing w:before="120" w:after="120" w:line="269" w:lineRule="auto"/>
              <w:ind w:right="0"/>
              <w:contextualSpacing w:val="0"/>
              <w:jc w:val="both"/>
              <w:rPr>
                <w:rFonts w:cs="Arial"/>
                <w:b/>
              </w:rPr>
            </w:pPr>
            <w:r w:rsidRPr="00C840FE">
              <w:rPr>
                <w:rFonts w:cs="Arial"/>
              </w:rPr>
              <w:t>Aggressive competition from other universities and providers</w:t>
            </w:r>
            <w:r>
              <w:rPr>
                <w:rFonts w:cs="Arial"/>
              </w:rPr>
              <w:t xml:space="preserve"> – enhanced due to the r</w:t>
            </w:r>
            <w:r w:rsidRPr="00C840FE">
              <w:rPr>
                <w:rFonts w:cs="Arial"/>
              </w:rPr>
              <w:t xml:space="preserve">emoval of </w:t>
            </w:r>
            <w:r>
              <w:rPr>
                <w:rFonts w:cs="Arial"/>
              </w:rPr>
              <w:t>the student number c</w:t>
            </w:r>
            <w:r w:rsidRPr="00C840FE">
              <w:rPr>
                <w:rFonts w:cs="Arial"/>
              </w:rPr>
              <w:t>ap</w:t>
            </w:r>
          </w:p>
          <w:p w14:paraId="45AFF2E2" w14:textId="32A49FAD" w:rsidR="00362BDC" w:rsidRPr="008A56E8" w:rsidRDefault="00220DD2" w:rsidP="001E7E97">
            <w:pPr>
              <w:pStyle w:val="ListParagraph"/>
              <w:numPr>
                <w:ilvl w:val="0"/>
                <w:numId w:val="42"/>
              </w:numPr>
              <w:spacing w:before="120" w:after="120" w:line="269" w:lineRule="auto"/>
              <w:ind w:right="0"/>
              <w:contextualSpacing w:val="0"/>
              <w:jc w:val="both"/>
              <w:rPr>
                <w:rFonts w:cs="Arial"/>
                <w:b/>
              </w:rPr>
            </w:pPr>
            <w:r>
              <w:rPr>
                <w:rFonts w:cs="Arial"/>
              </w:rPr>
              <w:lastRenderedPageBreak/>
              <w:t>Demographic trends leading to a</w:t>
            </w:r>
            <w:r w:rsidR="00362BDC" w:rsidRPr="00C840FE">
              <w:rPr>
                <w:rFonts w:cs="Arial"/>
              </w:rPr>
              <w:t xml:space="preserve"> reduction in the numbers of applicants</w:t>
            </w:r>
            <w:r>
              <w:rPr>
                <w:rFonts w:cs="Arial"/>
              </w:rPr>
              <w:t>,</w:t>
            </w:r>
            <w:r w:rsidR="00362BDC" w:rsidRPr="00C840FE">
              <w:rPr>
                <w:rFonts w:cs="Arial"/>
              </w:rPr>
              <w:t xml:space="preserve"> with even greater impact </w:t>
            </w:r>
            <w:r w:rsidR="0011572F" w:rsidRPr="00C840FE">
              <w:rPr>
                <w:rFonts w:cs="Arial"/>
              </w:rPr>
              <w:t>on low</w:t>
            </w:r>
            <w:r w:rsidR="00362BDC" w:rsidRPr="00C840FE">
              <w:rPr>
                <w:rFonts w:cs="Arial"/>
              </w:rPr>
              <w:t xml:space="preserve"> and medium </w:t>
            </w:r>
            <w:r w:rsidR="0011572F" w:rsidRPr="00C840FE">
              <w:rPr>
                <w:rFonts w:cs="Arial"/>
              </w:rPr>
              <w:t>tariff</w:t>
            </w:r>
            <w:r w:rsidR="00362BDC" w:rsidRPr="00C840FE">
              <w:rPr>
                <w:rFonts w:cs="Arial"/>
              </w:rPr>
              <w:t xml:space="preserve"> institutions</w:t>
            </w:r>
          </w:p>
          <w:p w14:paraId="708E8C4E" w14:textId="0645511E" w:rsidR="008A56E8" w:rsidRPr="008A56E8" w:rsidRDefault="008A56E8" w:rsidP="008A56E8">
            <w:pPr>
              <w:pStyle w:val="ListParagraph"/>
              <w:numPr>
                <w:ilvl w:val="0"/>
                <w:numId w:val="42"/>
              </w:numPr>
              <w:spacing w:before="120" w:after="120" w:line="269" w:lineRule="auto"/>
              <w:ind w:right="0"/>
              <w:contextualSpacing w:val="0"/>
              <w:jc w:val="both"/>
              <w:rPr>
                <w:rFonts w:cs="Arial"/>
                <w:b/>
              </w:rPr>
            </w:pPr>
            <w:r w:rsidRPr="00C840FE">
              <w:rPr>
                <w:rFonts w:cs="Arial"/>
              </w:rPr>
              <w:t>Thre</w:t>
            </w:r>
            <w:r>
              <w:rPr>
                <w:rFonts w:cs="Arial"/>
              </w:rPr>
              <w:t>at from alternative provision</w:t>
            </w:r>
          </w:p>
          <w:p w14:paraId="2C45921D" w14:textId="6DD3FB4A" w:rsidR="008A56E8" w:rsidRPr="008A56E8" w:rsidRDefault="008A56E8" w:rsidP="008A56E8">
            <w:pPr>
              <w:pStyle w:val="ListParagraph"/>
              <w:numPr>
                <w:ilvl w:val="0"/>
                <w:numId w:val="42"/>
              </w:numPr>
              <w:spacing w:before="120" w:after="120" w:line="269" w:lineRule="auto"/>
              <w:ind w:right="0"/>
              <w:contextualSpacing w:val="0"/>
              <w:jc w:val="both"/>
              <w:rPr>
                <w:rFonts w:cs="Arial"/>
                <w:b/>
              </w:rPr>
            </w:pPr>
            <w:r w:rsidRPr="00C840FE">
              <w:rPr>
                <w:rFonts w:cs="Arial"/>
              </w:rPr>
              <w:t>Degree Apprenticeships impact on recruitment of under-graduate students in fields of nursing, engineering and education</w:t>
            </w:r>
          </w:p>
          <w:p w14:paraId="3953DB42" w14:textId="16A714F3" w:rsidR="00220DD2" w:rsidRPr="00220DD2" w:rsidRDefault="00220DD2" w:rsidP="00220DD2">
            <w:pPr>
              <w:pStyle w:val="ListParagraph"/>
              <w:numPr>
                <w:ilvl w:val="0"/>
                <w:numId w:val="42"/>
              </w:numPr>
              <w:spacing w:before="120" w:after="120" w:line="269" w:lineRule="auto"/>
              <w:ind w:right="0"/>
              <w:contextualSpacing w:val="0"/>
              <w:jc w:val="both"/>
              <w:rPr>
                <w:rFonts w:cs="Arial"/>
                <w:b/>
              </w:rPr>
            </w:pPr>
            <w:r w:rsidRPr="00C840FE">
              <w:rPr>
                <w:rFonts w:cs="Arial"/>
              </w:rPr>
              <w:t>That the University is unable to recruit to and achieve its ambitious student numbers growth targets</w:t>
            </w:r>
          </w:p>
          <w:p w14:paraId="1470343E" w14:textId="77777777" w:rsidR="00362BDC" w:rsidRPr="00C840FE" w:rsidRDefault="00362BDC" w:rsidP="001E7E97">
            <w:pPr>
              <w:pStyle w:val="ListParagraph"/>
              <w:numPr>
                <w:ilvl w:val="0"/>
                <w:numId w:val="42"/>
              </w:numPr>
              <w:spacing w:before="120" w:after="120" w:line="269" w:lineRule="auto"/>
              <w:ind w:right="0"/>
              <w:contextualSpacing w:val="0"/>
              <w:jc w:val="both"/>
              <w:rPr>
                <w:rFonts w:cs="Arial"/>
                <w:b/>
              </w:rPr>
            </w:pPr>
            <w:r w:rsidRPr="00C840FE">
              <w:rPr>
                <w:rFonts w:cs="Arial"/>
              </w:rPr>
              <w:t>Government removes or further reduces support for university-based ITT</w:t>
            </w:r>
          </w:p>
          <w:p w14:paraId="19221F35" w14:textId="37454AAF" w:rsidR="00362BDC" w:rsidRPr="00FA2BC6" w:rsidRDefault="00362BDC" w:rsidP="00FA2BC6">
            <w:pPr>
              <w:pStyle w:val="ListParagraph"/>
              <w:numPr>
                <w:ilvl w:val="0"/>
                <w:numId w:val="42"/>
              </w:numPr>
              <w:spacing w:before="120" w:after="120" w:line="269" w:lineRule="auto"/>
              <w:ind w:right="0"/>
              <w:contextualSpacing w:val="0"/>
              <w:jc w:val="both"/>
              <w:rPr>
                <w:rFonts w:cs="Arial"/>
                <w:b/>
              </w:rPr>
            </w:pPr>
            <w:r w:rsidRPr="00C840FE">
              <w:rPr>
                <w:rFonts w:cs="Arial"/>
              </w:rPr>
              <w:t>Changes to funding for NHS or STEM subjects</w:t>
            </w:r>
            <w:r w:rsidR="00FA2BC6">
              <w:rPr>
                <w:rFonts w:cs="Arial"/>
              </w:rPr>
              <w:t xml:space="preserve"> / n</w:t>
            </w:r>
            <w:r w:rsidR="00FA2BC6" w:rsidRPr="00C840FE">
              <w:rPr>
                <w:rFonts w:cs="Arial"/>
              </w:rPr>
              <w:t>ot responding effectively to changes in NHS funding</w:t>
            </w:r>
          </w:p>
          <w:p w14:paraId="4D13F3F2" w14:textId="77777777" w:rsidR="00362BDC" w:rsidRPr="00C840FE" w:rsidRDefault="00362BDC" w:rsidP="001E7E97">
            <w:pPr>
              <w:pStyle w:val="ListParagraph"/>
              <w:numPr>
                <w:ilvl w:val="0"/>
                <w:numId w:val="42"/>
              </w:numPr>
              <w:spacing w:before="120" w:after="120" w:line="269" w:lineRule="auto"/>
              <w:ind w:right="0"/>
              <w:contextualSpacing w:val="0"/>
              <w:jc w:val="both"/>
              <w:rPr>
                <w:rFonts w:cs="Arial"/>
                <w:b/>
              </w:rPr>
            </w:pPr>
            <w:r w:rsidRPr="00C840FE">
              <w:rPr>
                <w:rFonts w:cs="Arial"/>
              </w:rPr>
              <w:t>Failure to deliver alternative modes of delivery, including part time, distance learning and continuing professional development, to support expansion plans</w:t>
            </w:r>
          </w:p>
          <w:p w14:paraId="608CD974" w14:textId="274B12EA" w:rsidR="00362BDC" w:rsidRPr="008A56E8" w:rsidRDefault="00362BDC" w:rsidP="008A56E8">
            <w:pPr>
              <w:pStyle w:val="ListParagraph"/>
              <w:numPr>
                <w:ilvl w:val="0"/>
                <w:numId w:val="42"/>
              </w:numPr>
              <w:spacing w:before="120" w:after="120" w:line="269" w:lineRule="auto"/>
              <w:ind w:right="0"/>
              <w:contextualSpacing w:val="0"/>
              <w:jc w:val="both"/>
              <w:rPr>
                <w:rFonts w:cs="Arial"/>
                <w:b/>
              </w:rPr>
            </w:pPr>
            <w:r w:rsidRPr="00C840FE">
              <w:rPr>
                <w:rFonts w:cs="Arial"/>
              </w:rPr>
              <w:t>Not responding effectively to expansion of higher level apprenticeships / apprenticeship levy</w:t>
            </w:r>
            <w:r w:rsidR="003B5EF4">
              <w:rPr>
                <w:rFonts w:cs="Arial"/>
              </w:rPr>
              <w:t>.</w:t>
            </w:r>
          </w:p>
        </w:tc>
        <w:tc>
          <w:tcPr>
            <w:tcW w:w="6951" w:type="dxa"/>
            <w:tcBorders>
              <w:top w:val="nil"/>
            </w:tcBorders>
          </w:tcPr>
          <w:p w14:paraId="14D7454F" w14:textId="77777777" w:rsidR="008A56E8" w:rsidRDefault="008A56E8" w:rsidP="00932A6D">
            <w:pPr>
              <w:spacing w:before="120" w:after="120" w:line="269" w:lineRule="auto"/>
              <w:ind w:right="34"/>
              <w:jc w:val="both"/>
              <w:rPr>
                <w:rFonts w:cs="Arial"/>
              </w:rPr>
            </w:pPr>
            <w:r>
              <w:rPr>
                <w:rFonts w:cs="Arial"/>
              </w:rPr>
              <w:lastRenderedPageBreak/>
              <w:t xml:space="preserve">The majority of institutional risk registers include a risk or risks relating to student recruitment, in one form or another.  For some institutions, the risks are around their ability to recruit sufficient students in the ever-changing higher education marketplace.  Other institutions focus in on particular </w:t>
            </w:r>
            <w:r>
              <w:rPr>
                <w:rFonts w:cs="Arial"/>
              </w:rPr>
              <w:lastRenderedPageBreak/>
              <w:t>disciplines that have undergone significant changes to their funding models over recent years (Nursing and ITT being the most frequently cited).</w:t>
            </w:r>
          </w:p>
          <w:p w14:paraId="193E88DD" w14:textId="77777777" w:rsidR="00362BDC" w:rsidRDefault="008A56E8" w:rsidP="00932A6D">
            <w:pPr>
              <w:spacing w:before="120" w:after="120" w:line="269" w:lineRule="auto"/>
              <w:ind w:right="34"/>
              <w:jc w:val="both"/>
              <w:rPr>
                <w:rFonts w:cs="Arial"/>
              </w:rPr>
            </w:pPr>
            <w:r>
              <w:rPr>
                <w:rFonts w:cs="Arial"/>
              </w:rPr>
              <w:t>References to the emerging opportunity or threat, depending on the institution’s view-point, of higher-level apprenticeships appear in a small number of</w:t>
            </w:r>
            <w:r w:rsidR="00CB1853">
              <w:rPr>
                <w:rFonts w:cs="Arial"/>
              </w:rPr>
              <w:t xml:space="preserve"> institutional risk registers; this is a relatively new area to be included in risk registers as government policy </w:t>
            </w:r>
            <w:r w:rsidR="007D679B">
              <w:rPr>
                <w:rFonts w:cs="Arial"/>
              </w:rPr>
              <w:t xml:space="preserve">has been finalised </w:t>
            </w:r>
            <w:r w:rsidR="00CB1853">
              <w:rPr>
                <w:rFonts w:cs="Arial"/>
              </w:rPr>
              <w:t>and institutional responses have been developing</w:t>
            </w:r>
            <w:r w:rsidR="007D679B">
              <w:rPr>
                <w:rFonts w:cs="Arial"/>
              </w:rPr>
              <w:t xml:space="preserve"> over recent months</w:t>
            </w:r>
            <w:r w:rsidR="00CB1853">
              <w:rPr>
                <w:rFonts w:cs="Arial"/>
              </w:rPr>
              <w:t>.</w:t>
            </w:r>
          </w:p>
          <w:p w14:paraId="167F2896" w14:textId="6C84C048" w:rsidR="006F3493" w:rsidRPr="00671918" w:rsidRDefault="006F3493" w:rsidP="00932A6D">
            <w:pPr>
              <w:spacing w:before="120" w:after="120" w:line="269" w:lineRule="auto"/>
              <w:ind w:right="34"/>
              <w:jc w:val="both"/>
              <w:rPr>
                <w:rFonts w:cs="Arial"/>
                <w:b/>
              </w:rPr>
            </w:pPr>
            <w:r>
              <w:rPr>
                <w:rFonts w:cs="Arial"/>
              </w:rPr>
              <w:t>As recruitment of students is so fundamental to the su</w:t>
            </w:r>
            <w:r w:rsidR="00AF7F24">
              <w:rPr>
                <w:rFonts w:cs="Arial"/>
              </w:rPr>
              <w:t xml:space="preserve">stainability of </w:t>
            </w:r>
            <w:r>
              <w:rPr>
                <w:rFonts w:cs="Arial"/>
              </w:rPr>
              <w:t xml:space="preserve">institutions – either through the very direct financial impact of reduced recruitment and / or through institutions needing to drop entry grades </w:t>
            </w:r>
            <w:r w:rsidR="007642AC">
              <w:rPr>
                <w:rFonts w:cs="Arial"/>
              </w:rPr>
              <w:t xml:space="preserve">if recruitment doesn’t go to plan, with the subsequent implications </w:t>
            </w:r>
            <w:r w:rsidR="00AF7F24">
              <w:rPr>
                <w:rFonts w:cs="Arial"/>
              </w:rPr>
              <w:t xml:space="preserve">e.g. </w:t>
            </w:r>
            <w:r w:rsidR="007642AC">
              <w:rPr>
                <w:rFonts w:cs="Arial"/>
              </w:rPr>
              <w:t>for league table metrics, any risks need to be specific to enable the institution to ensure that mitigations are targeted appropriately.  A number of the risks articulated here are ver</w:t>
            </w:r>
            <w:r w:rsidR="00AF7F24">
              <w:rPr>
                <w:rFonts w:cs="Arial"/>
              </w:rPr>
              <w:t>y vague, giving the institution</w:t>
            </w:r>
            <w:r w:rsidR="007642AC">
              <w:rPr>
                <w:rFonts w:cs="Arial"/>
              </w:rPr>
              <w:t xml:space="preserve"> and its Governors a general understanding that recruitment is a potential issue</w:t>
            </w:r>
            <w:r w:rsidR="00AF7F24">
              <w:rPr>
                <w:rFonts w:cs="Arial"/>
              </w:rPr>
              <w:t xml:space="preserve"> but not setting out where the risk really lies – e.g. UG, PG or expanding out of the region, and therefore the actions being taken to mitigate the risk.</w:t>
            </w:r>
          </w:p>
        </w:tc>
      </w:tr>
      <w:tr w:rsidR="00362BDC" w:rsidRPr="00C840FE" w14:paraId="10D9FC99" w14:textId="77777777" w:rsidTr="00362BDC">
        <w:tc>
          <w:tcPr>
            <w:tcW w:w="7792" w:type="dxa"/>
          </w:tcPr>
          <w:p w14:paraId="120B7C83" w14:textId="77777777" w:rsidR="00362BDC" w:rsidRPr="00C840FE" w:rsidRDefault="00362BDC" w:rsidP="001E7E97">
            <w:pPr>
              <w:spacing w:before="120" w:after="120" w:line="269" w:lineRule="auto"/>
              <w:rPr>
                <w:rFonts w:cs="Arial"/>
                <w:b/>
              </w:rPr>
            </w:pPr>
            <w:r w:rsidRPr="00C840FE">
              <w:rPr>
                <w:rFonts w:cs="Arial"/>
              </w:rPr>
              <w:lastRenderedPageBreak/>
              <w:t xml:space="preserve">Student Engagement &amp; Academic Experience   </w:t>
            </w:r>
          </w:p>
          <w:p w14:paraId="65E113EA" w14:textId="62A4EDF8" w:rsidR="0011572F" w:rsidRPr="00220DD2" w:rsidRDefault="00362BDC" w:rsidP="00FA2BC6">
            <w:pPr>
              <w:pStyle w:val="ListParagraph"/>
              <w:numPr>
                <w:ilvl w:val="0"/>
                <w:numId w:val="40"/>
              </w:numPr>
              <w:spacing w:before="120" w:after="120" w:line="269" w:lineRule="auto"/>
              <w:ind w:right="0"/>
              <w:contextualSpacing w:val="0"/>
              <w:jc w:val="both"/>
              <w:rPr>
                <w:rFonts w:cs="Arial"/>
                <w:b/>
              </w:rPr>
            </w:pPr>
            <w:r w:rsidRPr="0011572F">
              <w:rPr>
                <w:rFonts w:cs="Arial"/>
              </w:rPr>
              <w:t xml:space="preserve">Failure to deliver a </w:t>
            </w:r>
            <w:r w:rsidR="00220DD2" w:rsidRPr="0011572F">
              <w:rPr>
                <w:rFonts w:cs="Arial"/>
              </w:rPr>
              <w:t>high-quality</w:t>
            </w:r>
            <w:r w:rsidRPr="0011572F">
              <w:rPr>
                <w:rFonts w:cs="Arial"/>
              </w:rPr>
              <w:t xml:space="preserve"> student experience across the University</w:t>
            </w:r>
          </w:p>
          <w:p w14:paraId="0F6C827B" w14:textId="146E8A97" w:rsidR="00220DD2" w:rsidRPr="0011572F" w:rsidRDefault="00220DD2" w:rsidP="00FA2BC6">
            <w:pPr>
              <w:pStyle w:val="ListParagraph"/>
              <w:numPr>
                <w:ilvl w:val="0"/>
                <w:numId w:val="40"/>
              </w:numPr>
              <w:spacing w:before="120" w:after="120" w:line="269" w:lineRule="auto"/>
              <w:ind w:right="0"/>
              <w:contextualSpacing w:val="0"/>
              <w:jc w:val="both"/>
              <w:rPr>
                <w:rFonts w:cs="Arial"/>
                <w:b/>
              </w:rPr>
            </w:pPr>
            <w:r w:rsidRPr="0011572F">
              <w:rPr>
                <w:rFonts w:cs="Arial"/>
              </w:rPr>
              <w:t>Student satisfaction falls with rising expectations</w:t>
            </w:r>
          </w:p>
          <w:p w14:paraId="30125584" w14:textId="75CA7359" w:rsidR="00362BDC" w:rsidRPr="00FA2BC6" w:rsidRDefault="00362BDC" w:rsidP="00FA2BC6">
            <w:pPr>
              <w:pStyle w:val="ListParagraph"/>
              <w:numPr>
                <w:ilvl w:val="0"/>
                <w:numId w:val="40"/>
              </w:numPr>
              <w:spacing w:before="120" w:after="120" w:line="269" w:lineRule="auto"/>
              <w:ind w:right="0"/>
              <w:contextualSpacing w:val="0"/>
              <w:jc w:val="both"/>
              <w:rPr>
                <w:rFonts w:cs="Arial"/>
                <w:b/>
              </w:rPr>
            </w:pPr>
            <w:r w:rsidRPr="0011572F">
              <w:rPr>
                <w:rFonts w:cs="Arial"/>
              </w:rPr>
              <w:t>Failure to manage student retention within the University’s target</w:t>
            </w:r>
          </w:p>
          <w:p w14:paraId="64F71169" w14:textId="6F7FCA14" w:rsidR="00220DD2" w:rsidRPr="00FA2BC6" w:rsidRDefault="00FA2BC6" w:rsidP="00FA2BC6">
            <w:pPr>
              <w:pStyle w:val="ListParagraph"/>
              <w:numPr>
                <w:ilvl w:val="0"/>
                <w:numId w:val="40"/>
              </w:numPr>
              <w:spacing w:before="120" w:after="120" w:line="269" w:lineRule="auto"/>
              <w:ind w:right="0"/>
              <w:contextualSpacing w:val="0"/>
              <w:jc w:val="both"/>
              <w:rPr>
                <w:rFonts w:cs="Arial"/>
                <w:b/>
              </w:rPr>
            </w:pPr>
            <w:r w:rsidRPr="00C840FE">
              <w:rPr>
                <w:rFonts w:cs="Arial"/>
              </w:rPr>
              <w:t>Inadequate facilities, equipment and accommodation at campuses.</w:t>
            </w:r>
          </w:p>
        </w:tc>
        <w:tc>
          <w:tcPr>
            <w:tcW w:w="6951" w:type="dxa"/>
          </w:tcPr>
          <w:p w14:paraId="7563CDC5" w14:textId="05CC7D08" w:rsidR="00362BDC" w:rsidRPr="00220DD2" w:rsidRDefault="00220DD2" w:rsidP="00932A6D">
            <w:pPr>
              <w:spacing w:before="120" w:after="120" w:line="269" w:lineRule="auto"/>
              <w:ind w:right="34"/>
              <w:jc w:val="both"/>
              <w:rPr>
                <w:rFonts w:cs="Arial"/>
              </w:rPr>
            </w:pPr>
            <w:r>
              <w:rPr>
                <w:rFonts w:cs="Arial"/>
              </w:rPr>
              <w:t>Risk</w:t>
            </w:r>
            <w:r w:rsidR="00CB1853">
              <w:rPr>
                <w:rFonts w:cs="Arial"/>
              </w:rPr>
              <w:t>s</w:t>
            </w:r>
            <w:r>
              <w:rPr>
                <w:rFonts w:cs="Arial"/>
              </w:rPr>
              <w:t xml:space="preserve"> relating to the breadth of the student experience appear on many institutional risk registers – although</w:t>
            </w:r>
            <w:r w:rsidR="00CB1853">
              <w:rPr>
                <w:rFonts w:cs="Arial"/>
              </w:rPr>
              <w:t xml:space="preserve"> the form varies</w:t>
            </w:r>
            <w:r>
              <w:rPr>
                <w:rFonts w:cs="Arial"/>
              </w:rPr>
              <w:t xml:space="preserve"> depending on the institution.  Institutions with particular issues, such as student retention, </w:t>
            </w:r>
            <w:r w:rsidR="008A56E8">
              <w:rPr>
                <w:rFonts w:cs="Arial"/>
              </w:rPr>
              <w:t xml:space="preserve">tend to </w:t>
            </w:r>
            <w:r>
              <w:rPr>
                <w:rFonts w:cs="Arial"/>
              </w:rPr>
              <w:t>state these as explicit risks; others that have a more general concern to ensure that the student experience is optimised, have more generally stated risks.</w:t>
            </w:r>
          </w:p>
        </w:tc>
      </w:tr>
      <w:tr w:rsidR="00362BDC" w:rsidRPr="00C840FE" w14:paraId="562F24B5" w14:textId="77777777" w:rsidTr="00362BDC">
        <w:tc>
          <w:tcPr>
            <w:tcW w:w="7792" w:type="dxa"/>
          </w:tcPr>
          <w:p w14:paraId="15BC4124" w14:textId="77777777" w:rsidR="00362BDC" w:rsidRPr="00C840FE" w:rsidRDefault="00362BDC" w:rsidP="001E7E97">
            <w:pPr>
              <w:spacing w:before="120" w:after="120" w:line="269" w:lineRule="auto"/>
              <w:rPr>
                <w:rFonts w:cs="Arial"/>
                <w:b/>
              </w:rPr>
            </w:pPr>
            <w:r w:rsidRPr="00C840FE">
              <w:rPr>
                <w:rFonts w:cs="Arial"/>
              </w:rPr>
              <w:t>TEF:</w:t>
            </w:r>
          </w:p>
          <w:p w14:paraId="6FAA33A0"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 xml:space="preserve">Meeting Teaching Excellence Framework requirements  </w:t>
            </w:r>
          </w:p>
          <w:p w14:paraId="2EBFDB5A" w14:textId="76066DAB" w:rsidR="00362BDC"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 xml:space="preserve">Poor 'score' on the TEF which may affect recruitment and/or funding   </w:t>
            </w:r>
          </w:p>
        </w:tc>
        <w:tc>
          <w:tcPr>
            <w:tcW w:w="6951" w:type="dxa"/>
          </w:tcPr>
          <w:p w14:paraId="114ECB50" w14:textId="77777777" w:rsidR="00362BDC" w:rsidRDefault="00362BDC" w:rsidP="00932A6D">
            <w:pPr>
              <w:spacing w:before="120" w:after="120" w:line="269" w:lineRule="auto"/>
              <w:ind w:right="34"/>
              <w:jc w:val="both"/>
              <w:rPr>
                <w:rFonts w:cs="Arial"/>
                <w:b/>
              </w:rPr>
            </w:pPr>
            <w:r w:rsidRPr="00F74E1C">
              <w:rPr>
                <w:rFonts w:cs="Arial"/>
              </w:rPr>
              <w:t xml:space="preserve">Meeting TEF requirements and / or the implications of a TEF rating appear </w:t>
            </w:r>
            <w:r>
              <w:rPr>
                <w:rFonts w:cs="Arial"/>
              </w:rPr>
              <w:t xml:space="preserve">as relatively new risks on some </w:t>
            </w:r>
            <w:r w:rsidRPr="00F74E1C">
              <w:rPr>
                <w:rFonts w:cs="Arial"/>
              </w:rPr>
              <w:t xml:space="preserve">institutional risk registers. </w:t>
            </w:r>
          </w:p>
          <w:p w14:paraId="16DA77B5" w14:textId="77777777" w:rsidR="00362BDC" w:rsidRPr="00F74E1C" w:rsidRDefault="00362BDC" w:rsidP="00932A6D">
            <w:pPr>
              <w:spacing w:before="120" w:after="120" w:line="269" w:lineRule="auto"/>
              <w:ind w:right="34"/>
              <w:jc w:val="both"/>
              <w:rPr>
                <w:rFonts w:cs="Arial"/>
                <w:b/>
              </w:rPr>
            </w:pPr>
          </w:p>
        </w:tc>
      </w:tr>
      <w:tr w:rsidR="00362BDC" w:rsidRPr="00C840FE" w14:paraId="76F38A57" w14:textId="77777777" w:rsidTr="00362BDC">
        <w:tc>
          <w:tcPr>
            <w:tcW w:w="7792" w:type="dxa"/>
          </w:tcPr>
          <w:p w14:paraId="69A0184E" w14:textId="77777777" w:rsidR="00362BDC" w:rsidRPr="00C840FE" w:rsidRDefault="00362BDC" w:rsidP="001E7E97">
            <w:pPr>
              <w:spacing w:before="120" w:after="120" w:line="269" w:lineRule="auto"/>
              <w:rPr>
                <w:rFonts w:cs="Arial"/>
                <w:b/>
              </w:rPr>
            </w:pPr>
            <w:r w:rsidRPr="00C840FE">
              <w:rPr>
                <w:rFonts w:cs="Arial"/>
              </w:rPr>
              <w:t>Finance:</w:t>
            </w:r>
          </w:p>
          <w:p w14:paraId="6E1FCEA5"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That the University is unable to maintain a financially sustainable position</w:t>
            </w:r>
          </w:p>
          <w:p w14:paraId="0F4154D6"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Diversifying income</w:t>
            </w:r>
          </w:p>
          <w:p w14:paraId="1CD50C91" w14:textId="7603EA52" w:rsidR="00362BDC"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That cuts in public funding undermine the University's ability to deliver its strategic aim</w:t>
            </w:r>
          </w:p>
        </w:tc>
        <w:tc>
          <w:tcPr>
            <w:tcW w:w="6951" w:type="dxa"/>
          </w:tcPr>
          <w:p w14:paraId="344FDD8F" w14:textId="57B25F91" w:rsidR="00362BDC" w:rsidRPr="0032745A" w:rsidRDefault="00362BDC" w:rsidP="00932A6D">
            <w:pPr>
              <w:spacing w:before="120" w:after="120" w:line="269" w:lineRule="auto"/>
              <w:ind w:right="34"/>
              <w:jc w:val="both"/>
              <w:rPr>
                <w:rFonts w:cs="Arial"/>
                <w:b/>
              </w:rPr>
            </w:pPr>
            <w:r w:rsidRPr="0032745A">
              <w:rPr>
                <w:rFonts w:cs="Arial"/>
              </w:rPr>
              <w:t xml:space="preserve">Financial sustainability / the diversification of income to underpin such sustainability, appears on </w:t>
            </w:r>
            <w:r>
              <w:rPr>
                <w:rFonts w:cs="Arial"/>
              </w:rPr>
              <w:t xml:space="preserve">a number of risk registers.  In some this is a very stark </w:t>
            </w:r>
            <w:r w:rsidR="009B1AD9">
              <w:rPr>
                <w:rFonts w:cs="Arial"/>
              </w:rPr>
              <w:t>risk;</w:t>
            </w:r>
            <w:r>
              <w:rPr>
                <w:rFonts w:cs="Arial"/>
              </w:rPr>
              <w:t xml:space="preserve"> others link it to their ability to deliver on their institutional strategy or key capital projects.</w:t>
            </w:r>
          </w:p>
        </w:tc>
      </w:tr>
      <w:tr w:rsidR="00362BDC" w:rsidRPr="00C840FE" w14:paraId="78CC78EE" w14:textId="77777777" w:rsidTr="00362BDC">
        <w:tc>
          <w:tcPr>
            <w:tcW w:w="7792" w:type="dxa"/>
          </w:tcPr>
          <w:p w14:paraId="780F322C" w14:textId="77777777" w:rsidR="00362BDC" w:rsidRPr="00C840FE" w:rsidRDefault="00362BDC" w:rsidP="001E7E97">
            <w:pPr>
              <w:spacing w:before="120" w:after="120" w:line="269" w:lineRule="auto"/>
              <w:rPr>
                <w:rFonts w:cs="Arial"/>
                <w:b/>
              </w:rPr>
            </w:pPr>
            <w:r w:rsidRPr="00C840FE">
              <w:rPr>
                <w:rFonts w:cs="Arial"/>
              </w:rPr>
              <w:t>International recruitment</w:t>
            </w:r>
          </w:p>
          <w:p w14:paraId="29320780"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Failure to retain UKVI Highly Trusted status</w:t>
            </w:r>
          </w:p>
          <w:p w14:paraId="3BD7CB38"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UKVI policy and political rhetoric have a negative impact on international student recruitment</w:t>
            </w:r>
          </w:p>
          <w:p w14:paraId="70A94FD2" w14:textId="7407DD4B" w:rsidR="00362BDC"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Tighter immigration control/visa requirements affecting international student volume (especially PGT)</w:t>
            </w:r>
            <w:r w:rsidR="00E36C6F">
              <w:rPr>
                <w:rFonts w:cs="Arial"/>
              </w:rPr>
              <w:t>.</w:t>
            </w:r>
          </w:p>
        </w:tc>
        <w:tc>
          <w:tcPr>
            <w:tcW w:w="6951" w:type="dxa"/>
          </w:tcPr>
          <w:p w14:paraId="2A6827D2" w14:textId="144A7443" w:rsidR="00362BDC" w:rsidRPr="00680D7D" w:rsidRDefault="00362BDC" w:rsidP="00932A6D">
            <w:pPr>
              <w:spacing w:before="120" w:after="120" w:line="269" w:lineRule="auto"/>
              <w:ind w:right="34"/>
              <w:jc w:val="both"/>
              <w:rPr>
                <w:rFonts w:cs="Arial"/>
                <w:b/>
              </w:rPr>
            </w:pPr>
            <w:r w:rsidRPr="00680D7D">
              <w:rPr>
                <w:rFonts w:cs="Arial"/>
              </w:rPr>
              <w:t xml:space="preserve">Risks relating to </w:t>
            </w:r>
            <w:r>
              <w:rPr>
                <w:rFonts w:cs="Arial"/>
              </w:rPr>
              <w:t xml:space="preserve">the ability to continue to recruit international students, either at the current level or in keeping with strategies for growth, appear on a large number of risk registers. Some focus more on their ability to retain </w:t>
            </w:r>
            <w:r w:rsidRPr="00C840FE">
              <w:rPr>
                <w:rFonts w:cs="Arial"/>
              </w:rPr>
              <w:t>UKVI Highly Trusted status</w:t>
            </w:r>
            <w:r>
              <w:rPr>
                <w:rFonts w:cs="Arial"/>
              </w:rPr>
              <w:t xml:space="preserve">, others more on policy changes and the potential perception that international students are not </w:t>
            </w:r>
            <w:r w:rsidR="0011572F">
              <w:rPr>
                <w:rFonts w:cs="Arial"/>
              </w:rPr>
              <w:t>welcome</w:t>
            </w:r>
            <w:r>
              <w:rPr>
                <w:rFonts w:cs="Arial"/>
              </w:rPr>
              <w:t>.</w:t>
            </w:r>
          </w:p>
        </w:tc>
      </w:tr>
      <w:tr w:rsidR="00362BDC" w:rsidRPr="00C840FE" w14:paraId="3B9C74C2" w14:textId="77777777" w:rsidTr="00362BDC">
        <w:tc>
          <w:tcPr>
            <w:tcW w:w="7792" w:type="dxa"/>
          </w:tcPr>
          <w:p w14:paraId="574833E7" w14:textId="77777777" w:rsidR="00362BDC" w:rsidRPr="00C840FE" w:rsidRDefault="00362BDC" w:rsidP="001E7E97">
            <w:pPr>
              <w:spacing w:before="120" w:after="120" w:line="269" w:lineRule="auto"/>
              <w:rPr>
                <w:rFonts w:cs="Arial"/>
                <w:b/>
              </w:rPr>
            </w:pPr>
            <w:r w:rsidRPr="00C840FE">
              <w:rPr>
                <w:rFonts w:cs="Arial"/>
              </w:rPr>
              <w:t>HEFCE Quality Assessment</w:t>
            </w:r>
          </w:p>
          <w:p w14:paraId="07FBFF0F" w14:textId="77777777" w:rsidR="00362BDC" w:rsidRPr="00C840FE" w:rsidRDefault="00362BDC" w:rsidP="001E7E97">
            <w:pPr>
              <w:pStyle w:val="ListParagraph"/>
              <w:spacing w:before="120" w:after="120" w:line="269" w:lineRule="auto"/>
              <w:ind w:left="0"/>
              <w:contextualSpacing w:val="0"/>
              <w:rPr>
                <w:rFonts w:cs="Arial"/>
                <w:b/>
              </w:rPr>
            </w:pPr>
          </w:p>
        </w:tc>
        <w:tc>
          <w:tcPr>
            <w:tcW w:w="6951" w:type="dxa"/>
          </w:tcPr>
          <w:p w14:paraId="1295AAD5" w14:textId="77777777" w:rsidR="00362BDC" w:rsidRDefault="00362BDC" w:rsidP="00932A6D">
            <w:pPr>
              <w:spacing w:before="120" w:after="120" w:line="269" w:lineRule="auto"/>
              <w:ind w:right="34"/>
              <w:jc w:val="both"/>
              <w:rPr>
                <w:rFonts w:cs="Arial"/>
              </w:rPr>
            </w:pPr>
            <w:r w:rsidRPr="0041070E">
              <w:rPr>
                <w:rFonts w:cs="Arial"/>
              </w:rPr>
              <w:t xml:space="preserve">The </w:t>
            </w:r>
            <w:r>
              <w:rPr>
                <w:rFonts w:cs="Arial"/>
              </w:rPr>
              <w:t xml:space="preserve">changes to the quality assessment regime have been picked up in some institutional risk registers.  The unknown element of how the new regime will work in practice is of particular concern to institutions with an </w:t>
            </w:r>
            <w:r w:rsidR="0011572F">
              <w:rPr>
                <w:rFonts w:cs="Arial"/>
              </w:rPr>
              <w:t>upcoming</w:t>
            </w:r>
            <w:r>
              <w:rPr>
                <w:rFonts w:cs="Arial"/>
              </w:rPr>
              <w:t xml:space="preserve"> HEFCE Assurance Review. </w:t>
            </w:r>
          </w:p>
          <w:p w14:paraId="6974A9A1" w14:textId="3B420F20" w:rsidR="00EA3EC5" w:rsidRPr="0041070E" w:rsidRDefault="00EA3EC5" w:rsidP="00932A6D">
            <w:pPr>
              <w:spacing w:before="120" w:after="120" w:line="269" w:lineRule="auto"/>
              <w:ind w:right="34"/>
              <w:jc w:val="both"/>
              <w:rPr>
                <w:rFonts w:cs="Arial"/>
                <w:b/>
              </w:rPr>
            </w:pPr>
            <w:r>
              <w:rPr>
                <w:rFonts w:cs="Arial"/>
              </w:rPr>
              <w:t>As risks relating to academic quality are often included on institutional risk registers, there would be merit in evidencing joined up governance by linking to the institutional risk register within academic related reports to the Board.</w:t>
            </w:r>
          </w:p>
        </w:tc>
      </w:tr>
      <w:tr w:rsidR="00362BDC" w:rsidRPr="00C840FE" w14:paraId="7851F0F6" w14:textId="77777777" w:rsidTr="00362BDC">
        <w:tc>
          <w:tcPr>
            <w:tcW w:w="7792" w:type="dxa"/>
          </w:tcPr>
          <w:p w14:paraId="7C380632" w14:textId="77777777" w:rsidR="00362BDC" w:rsidRPr="00C840FE" w:rsidRDefault="00362BDC" w:rsidP="001E7E97">
            <w:pPr>
              <w:spacing w:before="120" w:after="120" w:line="269" w:lineRule="auto"/>
              <w:rPr>
                <w:rFonts w:cs="Arial"/>
                <w:b/>
              </w:rPr>
            </w:pPr>
            <w:r w:rsidRPr="00C840FE">
              <w:rPr>
                <w:rFonts w:cs="Arial"/>
              </w:rPr>
              <w:t>Reputation / Profile</w:t>
            </w:r>
          </w:p>
          <w:p w14:paraId="0B1E8657"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League table position adversely influences student choice / NSS results adversely impact / Percentage of "good degree" outcomes remains below national average</w:t>
            </w:r>
          </w:p>
          <w:p w14:paraId="3F960B9E"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Profile not sufficiently high in locality / region</w:t>
            </w:r>
          </w:p>
          <w:p w14:paraId="78891C45"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That student behaviour is such that it has an impact on the reputation of the University</w:t>
            </w:r>
          </w:p>
          <w:p w14:paraId="3A67D6F8"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That the international reputation of the University is compromised through the actions of either the institution, its individuals or a third party.</w:t>
            </w:r>
          </w:p>
          <w:p w14:paraId="2B876A14"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That the University enters into or is unable to exit an inappropriate contractual relationship at home or overseas</w:t>
            </w:r>
          </w:p>
          <w:p w14:paraId="7F52F2AB" w14:textId="0F6EDFAB" w:rsidR="00362BDC"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Failure to develop a powerful and distinctive Brand</w:t>
            </w:r>
          </w:p>
        </w:tc>
        <w:tc>
          <w:tcPr>
            <w:tcW w:w="6951" w:type="dxa"/>
          </w:tcPr>
          <w:p w14:paraId="2C349557" w14:textId="77777777" w:rsidR="00362BDC" w:rsidRPr="00E51951" w:rsidRDefault="00362BDC" w:rsidP="00932A6D">
            <w:pPr>
              <w:spacing w:before="120" w:after="120" w:line="269" w:lineRule="auto"/>
              <w:ind w:right="34"/>
              <w:jc w:val="both"/>
              <w:rPr>
                <w:rFonts w:cs="Arial"/>
                <w:b/>
              </w:rPr>
            </w:pPr>
            <w:r w:rsidRPr="00E51951">
              <w:rPr>
                <w:rFonts w:cs="Arial"/>
              </w:rPr>
              <w:t xml:space="preserve">The majority of risk registers include a risk(s) </w:t>
            </w:r>
            <w:r>
              <w:rPr>
                <w:rFonts w:cs="Arial"/>
              </w:rPr>
              <w:t xml:space="preserve">relating to the University’s reputation and / or profile.  As can be seen from the examples given, the form of these risks vary from those relating directly to the institution’s position in league tables through to the reputation in the locality / internationally. </w:t>
            </w:r>
          </w:p>
        </w:tc>
      </w:tr>
      <w:tr w:rsidR="00362BDC" w:rsidRPr="00C840FE" w14:paraId="3B1B2996" w14:textId="77777777" w:rsidTr="00362BDC">
        <w:tc>
          <w:tcPr>
            <w:tcW w:w="7792" w:type="dxa"/>
          </w:tcPr>
          <w:p w14:paraId="7A95FCB5" w14:textId="77777777" w:rsidR="00362BDC" w:rsidRPr="00C840FE" w:rsidRDefault="00362BDC" w:rsidP="001E7E97">
            <w:pPr>
              <w:spacing w:before="120" w:after="120" w:line="269" w:lineRule="auto"/>
              <w:rPr>
                <w:rFonts w:cs="Arial"/>
                <w:b/>
              </w:rPr>
            </w:pPr>
            <w:r w:rsidRPr="00C840FE">
              <w:rPr>
                <w:rFonts w:cs="Arial"/>
              </w:rPr>
              <w:t>Brexit</w:t>
            </w:r>
          </w:p>
          <w:p w14:paraId="3AA2BD5F"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That the UK’s decision to withdraw from the EU and associated political instability that this has generated creates uncertainty for the University in terms of funding and political standing</w:t>
            </w:r>
          </w:p>
          <w:p w14:paraId="3950755F"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 xml:space="preserve">Changes to funding for Research grants and eligibility to apply for grants and European Structural Funds </w:t>
            </w:r>
          </w:p>
          <w:p w14:paraId="6208C56B"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Potential negative impact on student and staff recruitment</w:t>
            </w:r>
          </w:p>
          <w:p w14:paraId="610CE150" w14:textId="381F9842" w:rsidR="00362BDC"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Brexit adversely affects the University through its impact on: Staff retention, recruitment and morale (staff from the EU), European research collaboration Grants, Student recruitment from the EU</w:t>
            </w:r>
            <w:r w:rsidR="007A38EC">
              <w:rPr>
                <w:rFonts w:cs="Arial"/>
              </w:rPr>
              <w:t>.</w:t>
            </w:r>
          </w:p>
        </w:tc>
        <w:tc>
          <w:tcPr>
            <w:tcW w:w="6951" w:type="dxa"/>
          </w:tcPr>
          <w:p w14:paraId="6A2F4423" w14:textId="39BB7119" w:rsidR="00CE50D0" w:rsidRDefault="00362BDC" w:rsidP="00932A6D">
            <w:pPr>
              <w:spacing w:before="120" w:after="120" w:line="269" w:lineRule="auto"/>
              <w:ind w:right="34"/>
              <w:jc w:val="both"/>
              <w:rPr>
                <w:rFonts w:cs="Arial"/>
              </w:rPr>
            </w:pPr>
            <w:r w:rsidRPr="00E51951">
              <w:rPr>
                <w:rFonts w:cs="Arial"/>
              </w:rPr>
              <w:t>The various</w:t>
            </w:r>
            <w:r>
              <w:rPr>
                <w:rFonts w:cs="Arial"/>
              </w:rPr>
              <w:t xml:space="preserve"> potential</w:t>
            </w:r>
            <w:r w:rsidRPr="00E51951">
              <w:rPr>
                <w:rFonts w:cs="Arial"/>
              </w:rPr>
              <w:t xml:space="preserve"> implications</w:t>
            </w:r>
            <w:r>
              <w:rPr>
                <w:rFonts w:cs="Arial"/>
              </w:rPr>
              <w:t xml:space="preserve"> of Brexit, and the uncertainty that it has and will continue to cause, are picked up on </w:t>
            </w:r>
            <w:r w:rsidR="00CE50D0">
              <w:rPr>
                <w:rFonts w:cs="Arial"/>
              </w:rPr>
              <w:t xml:space="preserve">by many institutions.  Some have chosen to have a separate Brexit risk register while others have decided to capture it within the institution’s main register – either through a specific risk or woven into the risks they already have. </w:t>
            </w:r>
          </w:p>
          <w:p w14:paraId="462CADFA" w14:textId="1581EA73" w:rsidR="00362BDC" w:rsidRPr="00E51951" w:rsidRDefault="002C1307" w:rsidP="00932A6D">
            <w:pPr>
              <w:spacing w:before="120" w:after="120" w:line="269" w:lineRule="auto"/>
              <w:ind w:right="34"/>
              <w:jc w:val="both"/>
              <w:rPr>
                <w:rFonts w:cs="Arial"/>
                <w:b/>
              </w:rPr>
            </w:pPr>
            <w:r>
              <w:rPr>
                <w:rFonts w:cs="Arial"/>
              </w:rPr>
              <w:t>A</w:t>
            </w:r>
            <w:r w:rsidR="00362BDC">
              <w:rPr>
                <w:rFonts w:cs="Arial"/>
              </w:rPr>
              <w:t>lthough the mitigations are often limited at this stage in the process</w:t>
            </w:r>
            <w:r>
              <w:rPr>
                <w:rFonts w:cs="Arial"/>
              </w:rPr>
              <w:t>, acknowledging that Brexit is likely to cause significant changes for institutions is certainly good practice, ensuring that as more details become apparent the institution is ready to act.</w:t>
            </w:r>
          </w:p>
        </w:tc>
      </w:tr>
      <w:tr w:rsidR="00362BDC" w:rsidRPr="00C840FE" w14:paraId="0C02E648" w14:textId="77777777" w:rsidTr="00362BDC">
        <w:tc>
          <w:tcPr>
            <w:tcW w:w="7792" w:type="dxa"/>
          </w:tcPr>
          <w:p w14:paraId="1C172A33" w14:textId="77777777" w:rsidR="00362BDC" w:rsidRPr="00C840FE" w:rsidRDefault="00362BDC" w:rsidP="001E7E97">
            <w:pPr>
              <w:spacing w:before="120" w:after="120" w:line="269" w:lineRule="auto"/>
              <w:rPr>
                <w:rFonts w:cs="Arial"/>
                <w:b/>
              </w:rPr>
            </w:pPr>
            <w:r w:rsidRPr="00C840FE">
              <w:rPr>
                <w:rFonts w:cs="Arial"/>
              </w:rPr>
              <w:t>Estate:</w:t>
            </w:r>
          </w:p>
          <w:p w14:paraId="773345C4"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Quality of the estate</w:t>
            </w:r>
          </w:p>
          <w:p w14:paraId="5839D9C9"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Failure to optimise utilisation of the physical estate and equipment – including outside the core teaching weeks</w:t>
            </w:r>
          </w:p>
          <w:p w14:paraId="2A43794E" w14:textId="12223259" w:rsidR="00362BDC"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Failure to deliver the Estate masterplan to budget/planned performance</w:t>
            </w:r>
            <w:r w:rsidR="007A38EC">
              <w:rPr>
                <w:rFonts w:cs="Arial"/>
              </w:rPr>
              <w:t>.</w:t>
            </w:r>
          </w:p>
        </w:tc>
        <w:tc>
          <w:tcPr>
            <w:tcW w:w="6951" w:type="dxa"/>
          </w:tcPr>
          <w:p w14:paraId="79915FB4" w14:textId="77777777" w:rsidR="00362BDC" w:rsidRDefault="00362BDC" w:rsidP="00932A6D">
            <w:pPr>
              <w:spacing w:before="120" w:after="120" w:line="269" w:lineRule="auto"/>
              <w:ind w:right="34"/>
              <w:jc w:val="both"/>
              <w:rPr>
                <w:rFonts w:cs="Arial"/>
                <w:b/>
              </w:rPr>
            </w:pPr>
            <w:r>
              <w:rPr>
                <w:rFonts w:cs="Arial"/>
              </w:rPr>
              <w:t>The importance of the Estate, and therefore the potential risk / opportunity that it can bring, is recognised by many institutions by inclusion of an estate related risk in their institutional risk registers.</w:t>
            </w:r>
          </w:p>
          <w:p w14:paraId="59116956" w14:textId="05F21AF5" w:rsidR="00362BDC" w:rsidRPr="001561BE" w:rsidRDefault="00362BDC" w:rsidP="00932A6D">
            <w:pPr>
              <w:spacing w:before="120" w:after="120" w:line="269" w:lineRule="auto"/>
              <w:ind w:right="34"/>
              <w:jc w:val="both"/>
              <w:rPr>
                <w:rFonts w:cs="Arial"/>
                <w:b/>
              </w:rPr>
            </w:pPr>
            <w:r>
              <w:rPr>
                <w:rFonts w:cs="Arial"/>
              </w:rPr>
              <w:t>With a number of</w:t>
            </w:r>
            <w:r w:rsidRPr="001561BE">
              <w:rPr>
                <w:rFonts w:cs="Arial"/>
              </w:rPr>
              <w:t xml:space="preserve"> institutions </w:t>
            </w:r>
            <w:r>
              <w:rPr>
                <w:rFonts w:cs="Arial"/>
              </w:rPr>
              <w:t xml:space="preserve">in the process of investing significantly in their Estate, either </w:t>
            </w:r>
            <w:r w:rsidR="0011572F">
              <w:rPr>
                <w:rFonts w:cs="Arial"/>
              </w:rPr>
              <w:t>through</w:t>
            </w:r>
            <w:r>
              <w:rPr>
                <w:rFonts w:cs="Arial"/>
              </w:rPr>
              <w:t xml:space="preserve"> a major campus masterplan or individual new build, many risk registers have a specific risk(s) relating to the project rather than a generic estate related risk.</w:t>
            </w:r>
          </w:p>
        </w:tc>
      </w:tr>
      <w:tr w:rsidR="00362BDC" w:rsidRPr="00C840FE" w14:paraId="6FB35134" w14:textId="77777777" w:rsidTr="00362BDC">
        <w:tc>
          <w:tcPr>
            <w:tcW w:w="7792" w:type="dxa"/>
          </w:tcPr>
          <w:p w14:paraId="66490A0E" w14:textId="77777777" w:rsidR="00362BDC" w:rsidRPr="00C840FE" w:rsidRDefault="00362BDC" w:rsidP="001E7E97">
            <w:pPr>
              <w:spacing w:before="120" w:after="120" w:line="269" w:lineRule="auto"/>
              <w:rPr>
                <w:rFonts w:cs="Arial"/>
                <w:b/>
              </w:rPr>
            </w:pPr>
            <w:r w:rsidRPr="00C840FE">
              <w:rPr>
                <w:rFonts w:cs="Arial"/>
              </w:rPr>
              <w:t>Data:</w:t>
            </w:r>
          </w:p>
          <w:p w14:paraId="5A3FD621"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Regulatory failure in relation to data responsibilities</w:t>
            </w:r>
          </w:p>
          <w:p w14:paraId="5EDC995D" w14:textId="4AC83FC9" w:rsidR="00362BDC"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Failure to maintain student related data quality, management, control and resilience</w:t>
            </w:r>
            <w:r w:rsidR="007A38EC">
              <w:rPr>
                <w:rFonts w:cs="Arial"/>
              </w:rPr>
              <w:t>.</w:t>
            </w:r>
          </w:p>
        </w:tc>
        <w:tc>
          <w:tcPr>
            <w:tcW w:w="6951" w:type="dxa"/>
          </w:tcPr>
          <w:p w14:paraId="3DA8828E" w14:textId="77777777" w:rsidR="00362BDC" w:rsidRDefault="00362BDC" w:rsidP="00932A6D">
            <w:pPr>
              <w:spacing w:before="120" w:after="120" w:line="269" w:lineRule="auto"/>
              <w:ind w:right="34"/>
              <w:jc w:val="both"/>
              <w:rPr>
                <w:rFonts w:cs="Arial"/>
              </w:rPr>
            </w:pPr>
            <w:r w:rsidRPr="00EE3717">
              <w:rPr>
                <w:rFonts w:cs="Arial"/>
              </w:rPr>
              <w:t>A number of institutions have a risk relating to data quality on their institutional risk register – perhaps those who have had issues in data audits in the recent past see it as a matter of particular concern.</w:t>
            </w:r>
          </w:p>
          <w:p w14:paraId="4FF47181" w14:textId="33233799" w:rsidR="00320332" w:rsidRPr="00EE3717" w:rsidRDefault="00320332" w:rsidP="00932A6D">
            <w:pPr>
              <w:spacing w:before="120" w:after="120" w:line="269" w:lineRule="auto"/>
              <w:ind w:right="34"/>
              <w:jc w:val="both"/>
              <w:rPr>
                <w:rFonts w:cs="Arial"/>
                <w:b/>
              </w:rPr>
            </w:pPr>
            <w:r>
              <w:rPr>
                <w:rFonts w:cs="Arial"/>
              </w:rPr>
              <w:t xml:space="preserve">The proactive use of the data that </w:t>
            </w:r>
            <w:r w:rsidR="00EA3EC5">
              <w:rPr>
                <w:rFonts w:cs="Arial"/>
              </w:rPr>
              <w:t>they</w:t>
            </w:r>
            <w:r>
              <w:rPr>
                <w:rFonts w:cs="Arial"/>
              </w:rPr>
              <w:t xml:space="preserve"> hold is a wider opportunity for many institutions; universities hold a wide range of data that could be used to help drive their strategic objectives, some institutions are starting to make good use of this data, however it would be worth all exploring the value of their data if they are to keep up with their competitors</w:t>
            </w:r>
            <w:r w:rsidR="00EA3EC5">
              <w:rPr>
                <w:rFonts w:cs="Arial"/>
              </w:rPr>
              <w:t>.</w:t>
            </w:r>
          </w:p>
        </w:tc>
      </w:tr>
      <w:tr w:rsidR="00362BDC" w:rsidRPr="00C840FE" w14:paraId="1D7E648B" w14:textId="77777777" w:rsidTr="00362BDC">
        <w:tc>
          <w:tcPr>
            <w:tcW w:w="7792" w:type="dxa"/>
          </w:tcPr>
          <w:p w14:paraId="4D3F34F2" w14:textId="77777777" w:rsidR="00362BDC" w:rsidRPr="00C840FE" w:rsidRDefault="00362BDC" w:rsidP="001E7E97">
            <w:pPr>
              <w:spacing w:before="120" w:after="120" w:line="269" w:lineRule="auto"/>
              <w:rPr>
                <w:rFonts w:cs="Arial"/>
                <w:b/>
              </w:rPr>
            </w:pPr>
            <w:r w:rsidRPr="00C840FE">
              <w:rPr>
                <w:rFonts w:cs="Arial"/>
              </w:rPr>
              <w:t>Research:</w:t>
            </w:r>
          </w:p>
          <w:p w14:paraId="509097D8"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That the University does not achieve its research ambitions</w:t>
            </w:r>
          </w:p>
          <w:p w14:paraId="29995552"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That the University may experience cuts in QR income or other reductions in research income</w:t>
            </w:r>
          </w:p>
          <w:p w14:paraId="7FB787CF"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University fails to increase annual research and enterprise income as conventional funders shrink and competition grows</w:t>
            </w:r>
          </w:p>
          <w:p w14:paraId="1F0286BD"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Failure to enhance research volume and quality – REF 2021</w:t>
            </w:r>
          </w:p>
          <w:p w14:paraId="2C3E60AC" w14:textId="29DB4E4B" w:rsidR="00362BDC"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That the University fails to recruit sufficient number and/or high calibre research students</w:t>
            </w:r>
            <w:r w:rsidR="00E330B2">
              <w:rPr>
                <w:rFonts w:cs="Arial"/>
              </w:rPr>
              <w:t>.</w:t>
            </w:r>
          </w:p>
        </w:tc>
        <w:tc>
          <w:tcPr>
            <w:tcW w:w="6951" w:type="dxa"/>
          </w:tcPr>
          <w:p w14:paraId="700F7EBF" w14:textId="77777777" w:rsidR="00362BDC" w:rsidRPr="00017CA7" w:rsidRDefault="00362BDC" w:rsidP="00932A6D">
            <w:pPr>
              <w:spacing w:before="120" w:after="120" w:line="269" w:lineRule="auto"/>
              <w:ind w:right="34"/>
              <w:jc w:val="both"/>
              <w:rPr>
                <w:rFonts w:cs="Arial"/>
                <w:b/>
              </w:rPr>
            </w:pPr>
            <w:r w:rsidRPr="00017CA7">
              <w:rPr>
                <w:rFonts w:cs="Arial"/>
              </w:rPr>
              <w:t xml:space="preserve">Risks around achievement of </w:t>
            </w:r>
            <w:r>
              <w:rPr>
                <w:rFonts w:cs="Arial"/>
              </w:rPr>
              <w:t xml:space="preserve">all, or elements of, </w:t>
            </w:r>
            <w:r w:rsidRPr="00017CA7">
              <w:rPr>
                <w:rFonts w:cs="Arial"/>
              </w:rPr>
              <w:t xml:space="preserve">the </w:t>
            </w:r>
            <w:r>
              <w:rPr>
                <w:rFonts w:cs="Arial"/>
              </w:rPr>
              <w:t xml:space="preserve">institution’s </w:t>
            </w:r>
            <w:r w:rsidRPr="00017CA7">
              <w:rPr>
                <w:rFonts w:cs="Arial"/>
              </w:rPr>
              <w:t xml:space="preserve">research strategy </w:t>
            </w:r>
            <w:r>
              <w:rPr>
                <w:rFonts w:cs="Arial"/>
              </w:rPr>
              <w:t>are present on the majority of institutional risk registers.  A significant sub-set of these risks are focused on the income from research / enterprise activity, a particular concern in the current funding climate and with the changes to the way that the research councils are structured.</w:t>
            </w:r>
          </w:p>
        </w:tc>
      </w:tr>
      <w:tr w:rsidR="00362BDC" w:rsidRPr="00C840FE" w14:paraId="72A61479" w14:textId="77777777" w:rsidTr="00362BDC">
        <w:tc>
          <w:tcPr>
            <w:tcW w:w="7792" w:type="dxa"/>
          </w:tcPr>
          <w:p w14:paraId="14E3E56A" w14:textId="77777777" w:rsidR="00362BDC" w:rsidRPr="00EE3717" w:rsidRDefault="00362BDC" w:rsidP="001E7E97">
            <w:pPr>
              <w:spacing w:before="120" w:after="120" w:line="269" w:lineRule="auto"/>
              <w:rPr>
                <w:rFonts w:cs="Arial"/>
                <w:b/>
              </w:rPr>
            </w:pPr>
            <w:r w:rsidRPr="00EE3717">
              <w:rPr>
                <w:rFonts w:cs="Arial"/>
              </w:rPr>
              <w:t>Pensions:</w:t>
            </w:r>
          </w:p>
          <w:p w14:paraId="580254BC"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That changes to the pension schemes subscribed to by the University result in significant financial losses and result in significant HR implications</w:t>
            </w:r>
          </w:p>
          <w:p w14:paraId="3892369A" w14:textId="212B1B38" w:rsidR="00362BDC"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Failure to manage the University’s pensions liabilities</w:t>
            </w:r>
            <w:r w:rsidR="00E330B2">
              <w:rPr>
                <w:rFonts w:cs="Arial"/>
              </w:rPr>
              <w:t>.</w:t>
            </w:r>
          </w:p>
        </w:tc>
        <w:tc>
          <w:tcPr>
            <w:tcW w:w="6951" w:type="dxa"/>
          </w:tcPr>
          <w:p w14:paraId="5C458903" w14:textId="77777777" w:rsidR="00362BDC" w:rsidRPr="00EE3717" w:rsidRDefault="00362BDC" w:rsidP="00932A6D">
            <w:pPr>
              <w:spacing w:before="120" w:after="120" w:line="269" w:lineRule="auto"/>
              <w:ind w:right="34"/>
              <w:jc w:val="both"/>
              <w:rPr>
                <w:rFonts w:cs="Arial"/>
                <w:b/>
              </w:rPr>
            </w:pPr>
            <w:r>
              <w:rPr>
                <w:rFonts w:cs="Arial"/>
              </w:rPr>
              <w:t>There is an increasing prevalence of risks relating to pension liabilities.</w:t>
            </w:r>
          </w:p>
        </w:tc>
      </w:tr>
      <w:tr w:rsidR="00362BDC" w:rsidRPr="00C840FE" w14:paraId="1E03ADBE" w14:textId="77777777" w:rsidTr="00362BDC">
        <w:tc>
          <w:tcPr>
            <w:tcW w:w="7792" w:type="dxa"/>
          </w:tcPr>
          <w:p w14:paraId="686C64BC" w14:textId="77777777" w:rsidR="00362BDC" w:rsidRPr="00C840FE" w:rsidRDefault="00362BDC" w:rsidP="001E7E97">
            <w:pPr>
              <w:spacing w:before="120" w:after="120" w:line="269" w:lineRule="auto"/>
              <w:rPr>
                <w:rFonts w:cs="Arial"/>
                <w:b/>
              </w:rPr>
            </w:pPr>
            <w:r w:rsidRPr="00C840FE">
              <w:rPr>
                <w:rFonts w:cs="Arial"/>
              </w:rPr>
              <w:t>IT / Cyber attacks:</w:t>
            </w:r>
          </w:p>
          <w:p w14:paraId="758DDE4A"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That the University's IT systems are insufficiently robust and may be subject to security breaches</w:t>
            </w:r>
          </w:p>
          <w:p w14:paraId="3FA97D0E"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Failure of information security leads to the theft and misuse of sensitive data, operational disruption and/or regulatory fine</w:t>
            </w:r>
          </w:p>
          <w:p w14:paraId="713C4E8C" w14:textId="2A2745B2" w:rsidR="00362BDC"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Risk that the University is unable to fully define and articulate it's future IT requirements, and invest in the infrastructure to support these requirements and meet the university's ambitions.</w:t>
            </w:r>
          </w:p>
        </w:tc>
        <w:tc>
          <w:tcPr>
            <w:tcW w:w="6951" w:type="dxa"/>
          </w:tcPr>
          <w:p w14:paraId="319E3929" w14:textId="77777777" w:rsidR="00362BDC" w:rsidRPr="00EE3717" w:rsidRDefault="00362BDC" w:rsidP="00932A6D">
            <w:pPr>
              <w:spacing w:before="120" w:after="120" w:line="269" w:lineRule="auto"/>
              <w:ind w:right="34"/>
              <w:jc w:val="both"/>
              <w:rPr>
                <w:rFonts w:cs="Arial"/>
                <w:b/>
              </w:rPr>
            </w:pPr>
            <w:r w:rsidRPr="00EE3717">
              <w:rPr>
                <w:rFonts w:cs="Arial"/>
              </w:rPr>
              <w:t xml:space="preserve">IT related risks, particularly those relating to breaches of IT security remain on the majority of institutional risk registers, although more are </w:t>
            </w:r>
            <w:r>
              <w:rPr>
                <w:rFonts w:cs="Arial"/>
              </w:rPr>
              <w:t xml:space="preserve">now also seeing </w:t>
            </w:r>
            <w:r w:rsidRPr="00EE3717">
              <w:rPr>
                <w:rFonts w:cs="Arial"/>
              </w:rPr>
              <w:t>the positive influenc</w:t>
            </w:r>
            <w:r>
              <w:rPr>
                <w:rFonts w:cs="Arial"/>
              </w:rPr>
              <w:t>e IT can have in supporting del</w:t>
            </w:r>
            <w:r w:rsidRPr="00EE3717">
              <w:rPr>
                <w:rFonts w:cs="Arial"/>
              </w:rPr>
              <w:t>ivery of the institutional strategy</w:t>
            </w:r>
            <w:r>
              <w:rPr>
                <w:rFonts w:cs="Arial"/>
              </w:rPr>
              <w:t xml:space="preserve"> as an areas of risk / opportunity</w:t>
            </w:r>
            <w:r w:rsidRPr="00EE3717">
              <w:rPr>
                <w:rFonts w:cs="Arial"/>
              </w:rPr>
              <w:t>.</w:t>
            </w:r>
          </w:p>
        </w:tc>
      </w:tr>
      <w:tr w:rsidR="00362BDC" w:rsidRPr="00C840FE" w14:paraId="79CEFCFB" w14:textId="77777777" w:rsidTr="00362BDC">
        <w:tc>
          <w:tcPr>
            <w:tcW w:w="7792" w:type="dxa"/>
          </w:tcPr>
          <w:p w14:paraId="0E2D0F51" w14:textId="77777777" w:rsidR="00362BDC" w:rsidRPr="00C840FE" w:rsidRDefault="00362BDC" w:rsidP="001E7E97">
            <w:pPr>
              <w:spacing w:before="120" w:after="120" w:line="269" w:lineRule="auto"/>
              <w:rPr>
                <w:rFonts w:cs="Arial"/>
                <w:b/>
              </w:rPr>
            </w:pPr>
            <w:r w:rsidRPr="00C840FE">
              <w:rPr>
                <w:rFonts w:cs="Arial"/>
              </w:rPr>
              <w:t>Legislative breach:</w:t>
            </w:r>
          </w:p>
          <w:p w14:paraId="6A7140E0"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That the University fails to comply with a legal or regulatory requirement</w:t>
            </w:r>
          </w:p>
          <w:p w14:paraId="53A17C2A"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Failure to comply with / adequately implement the Prevent Duty and that the measures arising are balanced with the appropriate safeguards for academic freedom of speech and research</w:t>
            </w:r>
          </w:p>
          <w:p w14:paraId="01E761AB" w14:textId="7BD5D6A3" w:rsidR="00362BDC"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Failure to comply with the expectations of the Competition and Markets Authority (CMA)</w:t>
            </w:r>
            <w:r w:rsidR="00E330B2">
              <w:rPr>
                <w:rFonts w:cs="Arial"/>
              </w:rPr>
              <w:t>.</w:t>
            </w:r>
          </w:p>
        </w:tc>
        <w:tc>
          <w:tcPr>
            <w:tcW w:w="6951" w:type="dxa"/>
          </w:tcPr>
          <w:p w14:paraId="249A818A" w14:textId="77777777" w:rsidR="00362BDC" w:rsidRDefault="00362BDC" w:rsidP="00932A6D">
            <w:pPr>
              <w:spacing w:before="120" w:after="120" w:line="269" w:lineRule="auto"/>
              <w:ind w:right="34"/>
              <w:jc w:val="both"/>
              <w:rPr>
                <w:rFonts w:cs="Arial"/>
                <w:b/>
              </w:rPr>
            </w:pPr>
            <w:r>
              <w:rPr>
                <w:rFonts w:cs="Arial"/>
              </w:rPr>
              <w:t>A small number of institutions include a risk around failing to comply with a legal or regulatory requirement – some using it as a broad catch-all for risk relating to all areas, others with more specific focus on a particular new issue or one where they have challenges with implementation of new requirements.</w:t>
            </w:r>
          </w:p>
          <w:p w14:paraId="56684940" w14:textId="77777777" w:rsidR="00362BDC" w:rsidRPr="00671918" w:rsidRDefault="00362BDC" w:rsidP="00932A6D">
            <w:pPr>
              <w:spacing w:before="120" w:after="120" w:line="269" w:lineRule="auto"/>
              <w:ind w:right="34"/>
              <w:jc w:val="both"/>
              <w:rPr>
                <w:rFonts w:cs="Arial"/>
                <w:b/>
              </w:rPr>
            </w:pPr>
            <w:r w:rsidRPr="00671918">
              <w:rPr>
                <w:rFonts w:cs="Arial"/>
              </w:rPr>
              <w:t>With the range of new legislation of relevance to the sector many institutions have either got</w:t>
            </w:r>
            <w:r>
              <w:rPr>
                <w:rFonts w:cs="Arial"/>
              </w:rPr>
              <w:t>,</w:t>
            </w:r>
            <w:r w:rsidRPr="00671918">
              <w:rPr>
                <w:rFonts w:cs="Arial"/>
              </w:rPr>
              <w:t xml:space="preserve"> or have had</w:t>
            </w:r>
            <w:r>
              <w:rPr>
                <w:rFonts w:cs="Arial"/>
              </w:rPr>
              <w:t>,</w:t>
            </w:r>
            <w:r w:rsidRPr="00671918">
              <w:rPr>
                <w:rFonts w:cs="Arial"/>
              </w:rPr>
              <w:t xml:space="preserve"> </w:t>
            </w:r>
            <w:r>
              <w:rPr>
                <w:rFonts w:cs="Arial"/>
              </w:rPr>
              <w:t xml:space="preserve">compliance with </w:t>
            </w:r>
            <w:r w:rsidRPr="00671918">
              <w:rPr>
                <w:rFonts w:cs="Arial"/>
              </w:rPr>
              <w:t>Prevent and</w:t>
            </w:r>
            <w:r>
              <w:rPr>
                <w:rFonts w:cs="Arial"/>
              </w:rPr>
              <w:t xml:space="preserve"> / or</w:t>
            </w:r>
            <w:r w:rsidRPr="00671918">
              <w:rPr>
                <w:rFonts w:cs="Arial"/>
              </w:rPr>
              <w:t xml:space="preserve"> CMA </w:t>
            </w:r>
            <w:r>
              <w:rPr>
                <w:rFonts w:cs="Arial"/>
              </w:rPr>
              <w:t xml:space="preserve">requirements </w:t>
            </w:r>
            <w:r w:rsidRPr="00671918">
              <w:rPr>
                <w:rFonts w:cs="Arial"/>
              </w:rPr>
              <w:t>on their risk registers</w:t>
            </w:r>
            <w:r>
              <w:rPr>
                <w:rFonts w:cs="Arial"/>
              </w:rPr>
              <w:t>.</w:t>
            </w:r>
          </w:p>
        </w:tc>
      </w:tr>
      <w:tr w:rsidR="00362BDC" w:rsidRPr="00C840FE" w14:paraId="0C353118" w14:textId="77777777" w:rsidTr="00362BDC">
        <w:tc>
          <w:tcPr>
            <w:tcW w:w="7792" w:type="dxa"/>
          </w:tcPr>
          <w:p w14:paraId="14CC1622" w14:textId="77777777" w:rsidR="00362BDC" w:rsidRPr="00C840FE" w:rsidRDefault="00362BDC" w:rsidP="001E7E97">
            <w:pPr>
              <w:spacing w:before="120" w:after="120" w:line="269" w:lineRule="auto"/>
              <w:rPr>
                <w:rFonts w:cs="Arial"/>
                <w:b/>
              </w:rPr>
            </w:pPr>
            <w:r w:rsidRPr="00C840FE">
              <w:rPr>
                <w:rFonts w:cs="Arial"/>
              </w:rPr>
              <w:t>Government Policy:</w:t>
            </w:r>
          </w:p>
          <w:p w14:paraId="1489F6B4"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 xml:space="preserve">That the University is not well positioned to respond to changes in national policy </w:t>
            </w:r>
          </w:p>
          <w:p w14:paraId="7FE19471" w14:textId="7F9C0407" w:rsidR="00362BDC"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Changes to OFFA criteria</w:t>
            </w:r>
            <w:r w:rsidR="00E330B2">
              <w:rPr>
                <w:rFonts w:cs="Arial"/>
              </w:rPr>
              <w:t>.</w:t>
            </w:r>
          </w:p>
        </w:tc>
        <w:tc>
          <w:tcPr>
            <w:tcW w:w="6951" w:type="dxa"/>
          </w:tcPr>
          <w:p w14:paraId="0C08B25C" w14:textId="77777777" w:rsidR="00362BDC" w:rsidRDefault="00362BDC" w:rsidP="00932A6D">
            <w:pPr>
              <w:spacing w:before="120" w:after="120" w:line="269" w:lineRule="auto"/>
              <w:ind w:right="34"/>
              <w:jc w:val="both"/>
              <w:rPr>
                <w:rFonts w:cs="Arial"/>
                <w:b/>
              </w:rPr>
            </w:pPr>
            <w:r w:rsidRPr="00FE181D">
              <w:rPr>
                <w:rFonts w:cs="Arial"/>
              </w:rPr>
              <w:t xml:space="preserve">A number of registers make reference to the </w:t>
            </w:r>
            <w:r>
              <w:rPr>
                <w:rFonts w:cs="Arial"/>
              </w:rPr>
              <w:t xml:space="preserve">uncertainty caused by the ongoing changes to Government Policy and the potential implications for their institutions.  </w:t>
            </w:r>
          </w:p>
          <w:p w14:paraId="44AF17E9" w14:textId="77777777" w:rsidR="00362BDC" w:rsidRPr="00FE181D" w:rsidRDefault="00362BDC" w:rsidP="00932A6D">
            <w:pPr>
              <w:spacing w:before="120" w:after="120" w:line="269" w:lineRule="auto"/>
              <w:ind w:right="34"/>
              <w:jc w:val="both"/>
              <w:rPr>
                <w:rFonts w:cs="Arial"/>
                <w:b/>
              </w:rPr>
            </w:pPr>
            <w:r>
              <w:rPr>
                <w:rFonts w:cs="Arial"/>
              </w:rPr>
              <w:t>One institution has a separate risk register for risks at a sector level and in the main outside of the institution’s control – where the key actions are often lobbying and keeping up-to-speed with developments so that mitigations can be planned as and when appropriate.</w:t>
            </w:r>
          </w:p>
        </w:tc>
      </w:tr>
      <w:tr w:rsidR="00362BDC" w:rsidRPr="00C840FE" w14:paraId="2CD907F2" w14:textId="77777777" w:rsidTr="00362BDC">
        <w:tc>
          <w:tcPr>
            <w:tcW w:w="7792" w:type="dxa"/>
          </w:tcPr>
          <w:p w14:paraId="6FA92B53" w14:textId="77777777" w:rsidR="00362BDC" w:rsidRPr="00C840FE" w:rsidRDefault="00362BDC" w:rsidP="001E7E97">
            <w:pPr>
              <w:spacing w:before="120" w:after="120" w:line="269" w:lineRule="auto"/>
              <w:rPr>
                <w:rFonts w:cs="Arial"/>
                <w:b/>
              </w:rPr>
            </w:pPr>
            <w:r w:rsidRPr="00C840FE">
              <w:rPr>
                <w:rFonts w:cs="Arial"/>
              </w:rPr>
              <w:t>Staff:</w:t>
            </w:r>
          </w:p>
          <w:p w14:paraId="575B000F"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That the University fails to attract staff of sufficient quality and reputation</w:t>
            </w:r>
          </w:p>
          <w:p w14:paraId="040FF526"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Failure to retain staff of sufficient calibre</w:t>
            </w:r>
          </w:p>
          <w:p w14:paraId="4B187ABC"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Failure to drive, and incentivise, high performance and innovative behaviours from staff</w:t>
            </w:r>
          </w:p>
          <w:p w14:paraId="1039BE21"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 xml:space="preserve">Failure to develop a more performance-oriented culture </w:t>
            </w:r>
          </w:p>
          <w:p w14:paraId="4F04F433" w14:textId="77777777" w:rsidR="0011572F"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That the University's employee relations are undermined by national industrial relations policies or activities</w:t>
            </w:r>
          </w:p>
          <w:p w14:paraId="4066C382" w14:textId="293681E2" w:rsidR="00362BDC" w:rsidRPr="0011572F" w:rsidRDefault="00362BDC" w:rsidP="001E7E97">
            <w:pPr>
              <w:pStyle w:val="ListParagraph"/>
              <w:numPr>
                <w:ilvl w:val="0"/>
                <w:numId w:val="41"/>
              </w:numPr>
              <w:spacing w:before="120" w:after="120" w:line="269" w:lineRule="auto"/>
              <w:ind w:right="0"/>
              <w:contextualSpacing w:val="0"/>
              <w:jc w:val="both"/>
              <w:rPr>
                <w:rFonts w:cs="Arial"/>
                <w:b/>
              </w:rPr>
            </w:pPr>
            <w:r w:rsidRPr="0011572F">
              <w:rPr>
                <w:rFonts w:cs="Arial"/>
              </w:rPr>
              <w:t>Risk of disruptive industrial action</w:t>
            </w:r>
            <w:r w:rsidR="00E330B2">
              <w:rPr>
                <w:rFonts w:cs="Arial"/>
              </w:rPr>
              <w:t>.</w:t>
            </w:r>
          </w:p>
        </w:tc>
        <w:tc>
          <w:tcPr>
            <w:tcW w:w="6951" w:type="dxa"/>
          </w:tcPr>
          <w:p w14:paraId="416723E6" w14:textId="77777777" w:rsidR="00362BDC" w:rsidRPr="00B42D8A" w:rsidRDefault="00362BDC" w:rsidP="00932A6D">
            <w:pPr>
              <w:spacing w:before="120" w:after="120" w:line="269" w:lineRule="auto"/>
              <w:ind w:right="34"/>
              <w:jc w:val="both"/>
              <w:rPr>
                <w:rFonts w:cs="Arial"/>
                <w:b/>
              </w:rPr>
            </w:pPr>
            <w:r w:rsidRPr="00B42D8A">
              <w:rPr>
                <w:rFonts w:cs="Arial"/>
              </w:rPr>
              <w:t xml:space="preserve">Many </w:t>
            </w:r>
            <w:r>
              <w:rPr>
                <w:rFonts w:cs="Arial"/>
              </w:rPr>
              <w:t xml:space="preserve">institutions have staff high on their institutional risk registers – recognising the importance of high calibre staff, and ongoing good employee relations, to the institution’s performance in other areas.  </w:t>
            </w:r>
          </w:p>
        </w:tc>
      </w:tr>
      <w:tr w:rsidR="00362BDC" w:rsidRPr="00C840FE" w14:paraId="36603CF7" w14:textId="77777777" w:rsidTr="00362BDC">
        <w:tc>
          <w:tcPr>
            <w:tcW w:w="7792" w:type="dxa"/>
          </w:tcPr>
          <w:p w14:paraId="1D129D24" w14:textId="77777777" w:rsidR="00362BDC" w:rsidRPr="00C840FE" w:rsidRDefault="00362BDC" w:rsidP="001E7E97">
            <w:pPr>
              <w:spacing w:before="120" w:after="120" w:line="269" w:lineRule="auto"/>
              <w:rPr>
                <w:rFonts w:cs="Arial"/>
                <w:b/>
              </w:rPr>
            </w:pPr>
            <w:r w:rsidRPr="00C840FE">
              <w:rPr>
                <w:rFonts w:cs="Arial"/>
              </w:rPr>
              <w:t>Business Continuity</w:t>
            </w:r>
            <w:r>
              <w:rPr>
                <w:rFonts w:cs="Arial"/>
              </w:rPr>
              <w:t>:</w:t>
            </w:r>
          </w:p>
          <w:p w14:paraId="6E2339D4" w14:textId="4833DA2B" w:rsidR="00362BDC" w:rsidRPr="00C840FE" w:rsidRDefault="00362BDC" w:rsidP="001E7E97">
            <w:pPr>
              <w:pStyle w:val="ListParagraph"/>
              <w:numPr>
                <w:ilvl w:val="0"/>
                <w:numId w:val="41"/>
              </w:numPr>
              <w:spacing w:before="120" w:after="120" w:line="269" w:lineRule="auto"/>
              <w:ind w:right="0"/>
              <w:contextualSpacing w:val="0"/>
              <w:jc w:val="both"/>
              <w:rPr>
                <w:rFonts w:cs="Arial"/>
                <w:b/>
              </w:rPr>
            </w:pPr>
            <w:r w:rsidRPr="00C840FE">
              <w:rPr>
                <w:rFonts w:cs="Arial"/>
              </w:rPr>
              <w:t>Risk of major incident, with major impact on business continuity and reputation</w:t>
            </w:r>
            <w:r w:rsidR="00E330B2">
              <w:rPr>
                <w:rFonts w:cs="Arial"/>
              </w:rPr>
              <w:t>.</w:t>
            </w:r>
          </w:p>
        </w:tc>
        <w:tc>
          <w:tcPr>
            <w:tcW w:w="6951" w:type="dxa"/>
          </w:tcPr>
          <w:p w14:paraId="586E6C5B" w14:textId="77777777" w:rsidR="00362BDC" w:rsidRDefault="00362BDC" w:rsidP="00932A6D">
            <w:pPr>
              <w:spacing w:before="120" w:after="120" w:line="269" w:lineRule="auto"/>
              <w:ind w:right="34"/>
              <w:jc w:val="both"/>
              <w:rPr>
                <w:rFonts w:cs="Arial"/>
                <w:b/>
              </w:rPr>
            </w:pPr>
            <w:r w:rsidRPr="00671918">
              <w:rPr>
                <w:rFonts w:cs="Arial"/>
              </w:rPr>
              <w:t>Some strategic / institutional risk registers include a business continuity or major incident type of risk.</w:t>
            </w:r>
            <w:r>
              <w:rPr>
                <w:rFonts w:cs="Arial"/>
              </w:rPr>
              <w:t xml:space="preserve">  The risks are usually very broad and can be more of a placeholder for the wide range of major incidents that could occur. </w:t>
            </w:r>
          </w:p>
          <w:p w14:paraId="1F3FC018" w14:textId="61C57327" w:rsidR="00362BDC" w:rsidRDefault="00362BDC" w:rsidP="00932A6D">
            <w:pPr>
              <w:spacing w:before="120" w:after="120" w:line="269" w:lineRule="auto"/>
              <w:ind w:right="34"/>
              <w:jc w:val="both"/>
              <w:rPr>
                <w:rFonts w:cs="Arial"/>
                <w:b/>
              </w:rPr>
            </w:pPr>
            <w:r>
              <w:rPr>
                <w:rFonts w:cs="Arial"/>
              </w:rPr>
              <w:t xml:space="preserve">In many cases the mitigations </w:t>
            </w:r>
            <w:r w:rsidR="001E7E97">
              <w:rPr>
                <w:rFonts w:cs="Arial"/>
              </w:rPr>
              <w:t>include</w:t>
            </w:r>
            <w:r>
              <w:rPr>
                <w:rFonts w:cs="Arial"/>
              </w:rPr>
              <w:t xml:space="preserve"> business continuity and emergency management plans, in </w:t>
            </w:r>
            <w:r w:rsidR="001E7E97">
              <w:rPr>
                <w:rFonts w:cs="Arial"/>
              </w:rPr>
              <w:t>addition</w:t>
            </w:r>
            <w:r>
              <w:rPr>
                <w:rFonts w:cs="Arial"/>
              </w:rPr>
              <w:t xml:space="preserve"> to activities to enhance areas such as Health and Safety and Cyber Security.</w:t>
            </w:r>
          </w:p>
          <w:p w14:paraId="6BB914CF" w14:textId="73F17501" w:rsidR="00362BDC" w:rsidRPr="00671918" w:rsidRDefault="00362BDC" w:rsidP="00932A6D">
            <w:pPr>
              <w:spacing w:before="120" w:after="120" w:line="269" w:lineRule="auto"/>
              <w:ind w:right="34"/>
              <w:jc w:val="both"/>
              <w:rPr>
                <w:rFonts w:cs="Arial"/>
                <w:b/>
              </w:rPr>
            </w:pPr>
            <w:r>
              <w:rPr>
                <w:rFonts w:cs="Arial"/>
              </w:rPr>
              <w:t>One institution has a list of the types of incidents to ensure that mitigations are relevant across all potential scenarios.</w:t>
            </w:r>
          </w:p>
        </w:tc>
      </w:tr>
    </w:tbl>
    <w:p w14:paraId="35AB403F" w14:textId="77777777" w:rsidR="006323AE" w:rsidRPr="00807A5F" w:rsidRDefault="006323AE" w:rsidP="00362BDC">
      <w:pPr>
        <w:pStyle w:val="Heading1withoutnumber"/>
        <w:rPr>
          <w:b/>
          <w:color w:val="auto"/>
          <w:lang w:val="en-GB"/>
        </w:rPr>
      </w:pPr>
      <w:r w:rsidRPr="00807A5F">
        <w:rPr>
          <w:b/>
          <w:color w:val="auto"/>
          <w:lang w:val="en-GB"/>
        </w:rPr>
        <w:t xml:space="preserve">How can we help? </w:t>
      </w:r>
    </w:p>
    <w:p w14:paraId="35AB4043" w14:textId="66928284" w:rsidR="00EC5C31" w:rsidRPr="000F06E6" w:rsidRDefault="00EC5C31" w:rsidP="00362BDC">
      <w:pPr>
        <w:spacing w:before="0" w:after="120"/>
        <w:ind w:right="0"/>
        <w:jc w:val="both"/>
        <w:rPr>
          <w:color w:val="auto"/>
          <w:szCs w:val="20"/>
        </w:rPr>
      </w:pPr>
      <w:r w:rsidRPr="000F06E6">
        <w:rPr>
          <w:color w:val="auto"/>
          <w:szCs w:val="20"/>
        </w:rPr>
        <w:t xml:space="preserve">For further information on how we can help or any other aspect of Uniac’s internal audit and assurance service please do get in touch. </w:t>
      </w:r>
    </w:p>
    <w:p w14:paraId="35AB4044" w14:textId="5939788A" w:rsidR="00EC5C31" w:rsidRPr="00833660" w:rsidRDefault="00833660" w:rsidP="00833660">
      <w:pPr>
        <w:spacing w:before="0" w:after="120"/>
        <w:ind w:right="0"/>
        <w:jc w:val="both"/>
        <w:rPr>
          <w:b/>
          <w:color w:val="auto"/>
          <w:sz w:val="22"/>
        </w:rPr>
      </w:pPr>
      <w:r w:rsidRPr="004E28EE">
        <w:rPr>
          <w:rFonts w:cs="Arial"/>
          <w:noProof/>
          <w:lang w:eastAsia="en-GB"/>
        </w:rPr>
        <w:drawing>
          <wp:inline distT="0" distB="0" distL="0" distR="0" wp14:anchorId="43F2602B" wp14:editId="44602551">
            <wp:extent cx="1554333" cy="1371600"/>
            <wp:effectExtent l="0" t="0" r="8255" b="0"/>
            <wp:docPr id="16889017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1554333" cy="1371600"/>
                    </a:xfrm>
                    <a:prstGeom prst="rect">
                      <a:avLst/>
                    </a:prstGeom>
                  </pic:spPr>
                </pic:pic>
              </a:graphicData>
            </a:graphic>
          </wp:inline>
        </w:drawing>
      </w:r>
    </w:p>
    <w:p w14:paraId="35AB4045" w14:textId="60B60FB8" w:rsidR="00EC5C31" w:rsidRPr="000F06E6" w:rsidRDefault="00833660" w:rsidP="00362BDC">
      <w:pPr>
        <w:spacing w:before="0" w:after="120"/>
        <w:ind w:right="-1"/>
        <w:rPr>
          <w:b/>
          <w:color w:val="auto"/>
          <w:szCs w:val="20"/>
        </w:rPr>
      </w:pPr>
      <w:r w:rsidRPr="000F06E6">
        <w:rPr>
          <w:color w:val="auto"/>
          <w:szCs w:val="20"/>
        </w:rPr>
        <w:t>Jean Brown</w:t>
      </w:r>
      <w:r w:rsidR="00EC5C31" w:rsidRPr="000F06E6">
        <w:rPr>
          <w:color w:val="auto"/>
          <w:szCs w:val="20"/>
        </w:rPr>
        <w:br/>
      </w:r>
      <w:r w:rsidRPr="000F06E6">
        <w:rPr>
          <w:color w:val="auto"/>
          <w:szCs w:val="20"/>
        </w:rPr>
        <w:t>Senior Assurance Consultant</w:t>
      </w:r>
    </w:p>
    <w:p w14:paraId="35AB4046" w14:textId="49AF5C12" w:rsidR="00EC5C31" w:rsidRPr="000F06E6" w:rsidRDefault="00EC5C31" w:rsidP="00362BDC">
      <w:pPr>
        <w:spacing w:before="0" w:after="120"/>
        <w:ind w:right="0"/>
        <w:rPr>
          <w:rFonts w:eastAsia="Times New Roman"/>
          <w:b/>
          <w:noProof/>
          <w:color w:val="auto"/>
          <w:szCs w:val="20"/>
        </w:rPr>
      </w:pPr>
      <w:r w:rsidRPr="000F06E6">
        <w:rPr>
          <w:rFonts w:ascii="Trebuchet MS" w:eastAsia="Times New Roman" w:hAnsi="Trebuchet MS" w:cs="Tahoma"/>
          <w:noProof/>
          <w:color w:val="auto"/>
          <w:szCs w:val="20"/>
        </w:rPr>
        <w:t xml:space="preserve">t: </w:t>
      </w:r>
      <w:r w:rsidR="00833660" w:rsidRPr="000F06E6">
        <w:rPr>
          <w:rFonts w:eastAsia="Times New Roman"/>
          <w:noProof/>
          <w:color w:val="auto"/>
          <w:szCs w:val="20"/>
        </w:rPr>
        <w:t>0161 247 2851</w:t>
      </w:r>
    </w:p>
    <w:p w14:paraId="35AB404B" w14:textId="0E426752" w:rsidR="00FD074D" w:rsidRPr="00867F71" w:rsidRDefault="00EC5C31" w:rsidP="000F06E6">
      <w:pPr>
        <w:spacing w:before="0" w:after="120"/>
        <w:ind w:right="0"/>
        <w:rPr>
          <w:rFonts w:ascii="Arial Black" w:hAnsi="Arial Black"/>
          <w:color w:val="412312"/>
        </w:rPr>
      </w:pPr>
      <w:r w:rsidRPr="00807A5F">
        <w:rPr>
          <w:rFonts w:eastAsia="Times New Roman"/>
          <w:noProof/>
          <w:color w:val="auto"/>
          <w:sz w:val="22"/>
          <w:szCs w:val="40"/>
        </w:rPr>
        <w:t xml:space="preserve">e: </w:t>
      </w:r>
      <w:hyperlink r:id="rId14" w:history="1">
        <w:r w:rsidR="000F06E6" w:rsidRPr="0049498B">
          <w:rPr>
            <w:rStyle w:val="Hyperlink"/>
            <w:rFonts w:eastAsia="Times New Roman"/>
            <w:noProof/>
            <w:color w:val="auto"/>
            <w:sz w:val="22"/>
            <w:szCs w:val="40"/>
          </w:rPr>
          <w:t>jbrown@uniac.co.uk</w:t>
        </w:r>
      </w:hyperlink>
      <w:r w:rsidR="000F06E6">
        <w:rPr>
          <w:rFonts w:eastAsia="Times New Roman"/>
          <w:noProof/>
          <w:color w:val="auto"/>
          <w:sz w:val="22"/>
          <w:szCs w:val="40"/>
        </w:rPr>
        <w:t xml:space="preserve">, </w:t>
      </w:r>
      <w:hyperlink r:id="rId15" w:history="1">
        <w:r w:rsidR="00111A6C" w:rsidRPr="00F32FFA">
          <w:rPr>
            <w:rStyle w:val="Hyperlink"/>
            <w:rFonts w:eastAsia="Times New Roman"/>
            <w:noProof/>
            <w:sz w:val="22"/>
            <w:szCs w:val="40"/>
          </w:rPr>
          <w:t>www.uniac.co.uk</w:t>
        </w:r>
      </w:hyperlink>
      <w:r w:rsidR="00111A6C">
        <w:rPr>
          <w:rFonts w:eastAsia="Times New Roman"/>
          <w:noProof/>
          <w:color w:val="auto"/>
          <w:sz w:val="22"/>
          <w:szCs w:val="40"/>
        </w:rPr>
        <w:t xml:space="preserve"> </w:t>
      </w:r>
    </w:p>
    <w:sectPr w:rsidR="00FD074D" w:rsidRPr="00867F71" w:rsidSect="00362BDC">
      <w:headerReference w:type="even" r:id="rId16"/>
      <w:headerReference w:type="default" r:id="rId17"/>
      <w:footerReference w:type="even" r:id="rId18"/>
      <w:footerReference w:type="default" r:id="rId19"/>
      <w:headerReference w:type="first" r:id="rId20"/>
      <w:footerReference w:type="first" r:id="rId21"/>
      <w:pgSz w:w="16838" w:h="11906" w:orient="landscape"/>
      <w:pgMar w:top="1134" w:right="1134" w:bottom="1134" w:left="993"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40679" w14:textId="77777777" w:rsidR="00F5695D" w:rsidRDefault="00F5695D" w:rsidP="00FD074D">
      <w:pPr>
        <w:spacing w:after="0" w:line="240" w:lineRule="auto"/>
      </w:pPr>
      <w:r>
        <w:separator/>
      </w:r>
    </w:p>
  </w:endnote>
  <w:endnote w:type="continuationSeparator" w:id="0">
    <w:p w14:paraId="01B4F3AA" w14:textId="77777777" w:rsidR="00F5695D" w:rsidRDefault="00F5695D" w:rsidP="00FD0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1" w:usb1="00000000" w:usb2="00000000" w:usb3="00000000" w:csb0="00000020" w:csb1="00000000"/>
  </w:font>
  <w:font w:name="Helvetica 65 Medium">
    <w:altName w:val="Arial"/>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B5B11" w14:textId="77777777" w:rsidR="000B1A6C" w:rsidRDefault="000B1A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4870021"/>
      <w:docPartObj>
        <w:docPartGallery w:val="Page Numbers (Bottom of Page)"/>
        <w:docPartUnique/>
      </w:docPartObj>
    </w:sdtPr>
    <w:sdtEndPr>
      <w:rPr>
        <w:noProof/>
      </w:rPr>
    </w:sdtEndPr>
    <w:sdtContent>
      <w:p w14:paraId="21BD8CA5" w14:textId="2A9EBA00" w:rsidR="000B1A6C" w:rsidRDefault="000B1A6C">
        <w:pPr>
          <w:pStyle w:val="Footer"/>
          <w:jc w:val="center"/>
        </w:pPr>
        <w:r w:rsidRPr="000B1A6C">
          <w:rPr>
            <w:rFonts w:ascii="Arial" w:hAnsi="Arial" w:cs="Aharoni"/>
            <w:noProof/>
            <w:color w:val="2F1910"/>
            <w:sz w:val="20"/>
            <w:lang w:val="en-GB" w:eastAsia="en-GB" w:bidi="ar-SA"/>
          </w:rPr>
          <mc:AlternateContent>
            <mc:Choice Requires="wps">
              <w:drawing>
                <wp:anchor distT="45720" distB="45720" distL="114300" distR="114300" simplePos="0" relativeHeight="251663360" behindDoc="0" locked="0" layoutInCell="1" allowOverlap="1" wp14:anchorId="27D34CC2" wp14:editId="39E0E240">
                  <wp:simplePos x="0" y="0"/>
                  <wp:positionH relativeFrom="column">
                    <wp:posOffset>5670868</wp:posOffset>
                  </wp:positionH>
                  <wp:positionV relativeFrom="paragraph">
                    <wp:posOffset>1078230</wp:posOffset>
                  </wp:positionV>
                  <wp:extent cx="1176020" cy="333375"/>
                  <wp:effectExtent l="0" t="0" r="508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333375"/>
                          </a:xfrm>
                          <a:prstGeom prst="rect">
                            <a:avLst/>
                          </a:prstGeom>
                          <a:solidFill>
                            <a:srgbClr val="FFFFFF"/>
                          </a:solidFill>
                          <a:ln w="9525">
                            <a:noFill/>
                            <a:miter lim="800000"/>
                            <a:headEnd/>
                            <a:tailEnd/>
                          </a:ln>
                        </wps:spPr>
                        <wps:txbx>
                          <w:txbxContent>
                            <w:p w14:paraId="6DC38A7D" w14:textId="36543B60" w:rsidR="000B1A6C" w:rsidRPr="000B1A6C" w:rsidRDefault="000B1A6C">
                              <w:pPr>
                                <w:rPr>
                                  <w:color w:val="auto"/>
                                </w:rPr>
                              </w:pPr>
                              <w:r w:rsidRPr="000B1A6C">
                                <w:rPr>
                                  <w:color w:val="auto"/>
                                </w:rPr>
                                <w:t xml:space="preserve">Uniac 2016 </w:t>
                              </w:r>
                              <w:r w:rsidRPr="000B1A6C">
                                <w:rPr>
                                  <w:rFonts w:cs="Arial"/>
                                  <w:color w:val="aut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D34CC2" id="_x0000_t202" coordsize="21600,21600" o:spt="202" path="m,l,21600r21600,l21600,xe">
                  <v:stroke joinstyle="miter"/>
                  <v:path gradientshapeok="t" o:connecttype="rect"/>
                </v:shapetype>
                <v:shape id="Text Box 2" o:spid="_x0000_s1026" type="#_x0000_t202" style="position:absolute;left:0;text-align:left;margin-left:446.55pt;margin-top:84.9pt;width:92.6pt;height:26.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" stroked="f">
                  <v:textbox>
                    <w:txbxContent>
                      <w:p w14:paraId="6DC38A7D" w14:textId="36543B60" w:rsidR="000B1A6C" w:rsidRPr="000B1A6C" w:rsidRDefault="000B1A6C">
                        <w:pPr>
                          <w:rPr>
                            <w:color w:val="auto"/>
                          </w:rPr>
                        </w:pPr>
                        <w:r w:rsidRPr="000B1A6C">
                          <w:rPr>
                            <w:color w:val="auto"/>
                          </w:rPr>
                          <w:t xml:space="preserve">Uniac 2016 </w:t>
                        </w:r>
                        <w:r w:rsidRPr="000B1A6C">
                          <w:rPr>
                            <w:rFonts w:cs="Arial"/>
                            <w:color w:val="auto"/>
                          </w:rPr>
                          <w:t>©</w:t>
                        </w:r>
                      </w:p>
                    </w:txbxContent>
                  </v:textbox>
                  <w10:wrap type="square"/>
                </v:shape>
              </w:pict>
            </mc:Fallback>
          </mc:AlternateContent>
        </w:r>
        <w:r w:rsidRPr="000B1A6C">
          <w:rPr>
            <w:rFonts w:ascii="Arial" w:hAnsi="Arial" w:cs="Aharoni"/>
            <w:noProof/>
            <w:color w:val="2F1910"/>
            <w:sz w:val="20"/>
            <w:lang w:val="en-GB" w:eastAsia="en-GB" w:bidi="ar-SA"/>
          </w:rPr>
          <mc:AlternateContent>
            <mc:Choice Requires="wps">
              <w:drawing>
                <wp:anchor distT="45720" distB="45720" distL="114300" distR="114300" simplePos="0" relativeHeight="251661312" behindDoc="0" locked="0" layoutInCell="1" allowOverlap="1" wp14:anchorId="15297201" wp14:editId="5BB4EDA4">
                  <wp:simplePos x="0" y="0"/>
                  <wp:positionH relativeFrom="column">
                    <wp:posOffset>4709160</wp:posOffset>
                  </wp:positionH>
                  <wp:positionV relativeFrom="paragraph">
                    <wp:posOffset>139700</wp:posOffset>
                  </wp:positionV>
                  <wp:extent cx="1858010" cy="93345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933450"/>
                          </a:xfrm>
                          <a:prstGeom prst="rect">
                            <a:avLst/>
                          </a:prstGeom>
                          <a:solidFill>
                            <a:srgbClr val="FFFFFF"/>
                          </a:solidFill>
                          <a:ln w="9525">
                            <a:noFill/>
                            <a:miter lim="800000"/>
                            <a:headEnd/>
                            <a:tailEnd/>
                          </a:ln>
                        </wps:spPr>
                        <wps:txbx>
                          <w:txbxContent>
                            <w:p w14:paraId="035B25BC" w14:textId="79D94985" w:rsidR="000B1A6C" w:rsidRDefault="000B1A6C">
                              <w:r>
                                <w:rPr>
                                  <w:noProof/>
                                  <w:lang w:eastAsia="en-GB"/>
                                </w:rPr>
                                <w:drawing>
                                  <wp:inline distT="0" distB="0" distL="0" distR="0" wp14:anchorId="1FE679D1" wp14:editId="0EB16CAF">
                                    <wp:extent cx="1601681" cy="43338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list Logo.png"/>
                                            <pic:cNvPicPr/>
                                          </pic:nvPicPr>
                                          <pic:blipFill>
                                            <a:blip r:embed="rId1">
                                              <a:extLst>
                                                <a:ext uri="{28A0092B-C50C-407E-A947-70E740481C1C}">
                                                  <a14:useLocalDpi xmlns:a14="http://schemas.microsoft.com/office/drawing/2010/main" val="0"/>
                                                </a:ext>
                                              </a:extLst>
                                            </a:blip>
                                            <a:stretch>
                                              <a:fillRect/>
                                            </a:stretch>
                                          </pic:blipFill>
                                          <pic:spPr>
                                            <a:xfrm>
                                              <a:off x="0" y="0"/>
                                              <a:ext cx="1608360" cy="4351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97201" id="_x0000_s1027" type="#_x0000_t202" style="position:absolute;left:0;text-align:left;margin-left:370.8pt;margin-top:11pt;width:146.3pt;height:7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" stroked="f">
                  <v:textbox>
                    <w:txbxContent>
                      <w:p w14:paraId="035B25BC" w14:textId="79D94985" w:rsidR="000B1A6C" w:rsidRDefault="000B1A6C">
                        <w:r>
                          <w:rPr>
                            <w:noProof/>
                            <w:lang w:eastAsia="en-GB"/>
                          </w:rPr>
                          <w:drawing>
                            <wp:inline distT="0" distB="0" distL="0" distR="0" wp14:anchorId="1FE679D1" wp14:editId="0EB16CAF">
                              <wp:extent cx="1601681" cy="43338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list Logo.png"/>
                                      <pic:cNvPicPr/>
                                    </pic:nvPicPr>
                                    <pic:blipFill>
                                      <a:blip r:embed="rId2">
                                        <a:extLst>
                                          <a:ext uri="{28A0092B-C50C-407E-A947-70E740481C1C}">
                                            <a14:useLocalDpi xmlns:a14="http://schemas.microsoft.com/office/drawing/2010/main" val="0"/>
                                          </a:ext>
                                        </a:extLst>
                                      </a:blip>
                                      <a:stretch>
                                        <a:fillRect/>
                                      </a:stretch>
                                    </pic:blipFill>
                                    <pic:spPr>
                                      <a:xfrm>
                                        <a:off x="0" y="0"/>
                                        <a:ext cx="1608360" cy="435195"/>
                                      </a:xfrm>
                                      <a:prstGeom prst="rect">
                                        <a:avLst/>
                                      </a:prstGeom>
                                    </pic:spPr>
                                  </pic:pic>
                                </a:graphicData>
                              </a:graphic>
                            </wp:inline>
                          </w:drawing>
                        </w:r>
                      </w:p>
                    </w:txbxContent>
                  </v:textbox>
                  <w10:wrap type="square"/>
                </v:shape>
              </w:pict>
            </mc:Fallback>
          </mc:AlternateContent>
        </w:r>
        <w:r w:rsidRPr="000B1A6C">
          <w:rPr>
            <w:rFonts w:ascii="Arial" w:hAnsi="Arial" w:cs="Aharoni"/>
            <w:noProof/>
            <w:color w:val="2F1910"/>
            <w:sz w:val="20"/>
            <w:lang w:val="en-GB" w:eastAsia="en-GB" w:bidi="ar-SA"/>
          </w:rPr>
          <mc:AlternateContent>
            <mc:Choice Requires="wps">
              <w:drawing>
                <wp:anchor distT="45720" distB="45720" distL="114300" distR="114300" simplePos="0" relativeHeight="251659264" behindDoc="0" locked="0" layoutInCell="1" allowOverlap="1" wp14:anchorId="2D726499" wp14:editId="0397C617">
                  <wp:simplePos x="0" y="0"/>
                  <wp:positionH relativeFrom="column">
                    <wp:posOffset>-320040</wp:posOffset>
                  </wp:positionH>
                  <wp:positionV relativeFrom="paragraph">
                    <wp:posOffset>130810</wp:posOffset>
                  </wp:positionV>
                  <wp:extent cx="1671320" cy="112395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123950"/>
                          </a:xfrm>
                          <a:prstGeom prst="rect">
                            <a:avLst/>
                          </a:prstGeom>
                          <a:solidFill>
                            <a:srgbClr val="FFFFFF"/>
                          </a:solidFill>
                          <a:ln w="9525">
                            <a:noFill/>
                            <a:miter lim="800000"/>
                            <a:headEnd/>
                            <a:tailEnd/>
                          </a:ln>
                        </wps:spPr>
                        <wps:txbx>
                          <w:txbxContent>
                            <w:p w14:paraId="0C5B709C" w14:textId="77777777" w:rsidR="000B1A6C" w:rsidRPr="0058005F" w:rsidRDefault="000B1A6C" w:rsidP="000B1A6C">
                              <w:pPr>
                                <w:spacing w:before="0"/>
                                <w:rPr>
                                  <w:color w:val="FFFFFF" w:themeColor="background1"/>
                                  <w14:textFill>
                                    <w14:noFill/>
                                  </w14:textFill>
                                </w:rPr>
                              </w:pPr>
                              <w:r>
                                <w:rPr>
                                  <w:rFonts w:cs="Helvetica 65 Medium"/>
                                  <w:b/>
                                  <w:noProof/>
                                  <w:sz w:val="14"/>
                                  <w:szCs w:val="14"/>
                                  <w:lang w:eastAsia="en-GB"/>
                                </w:rPr>
                                <w:drawing>
                                  <wp:inline distT="0" distB="0" distL="0" distR="0" wp14:anchorId="2F7C2040" wp14:editId="47EE0866">
                                    <wp:extent cx="1017917" cy="71858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Rules-for-certs-form-Jan13-v10.bmp"/>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69053" cy="754682"/>
                                            </a:xfrm>
                                            <a:prstGeom prst="rect">
                                              <a:avLst/>
                                            </a:prstGeom>
                                          </pic:spPr>
                                        </pic:pic>
                                      </a:graphicData>
                                    </a:graphic>
                                  </wp:inline>
                                </w:drawing>
                              </w:r>
                            </w:p>
                            <w:p w14:paraId="2AFBB563" w14:textId="77777777" w:rsidR="000B1A6C" w:rsidRPr="004B3E2A" w:rsidRDefault="000B1A6C" w:rsidP="000B1A6C">
                              <w:pPr>
                                <w:spacing w:before="0"/>
                                <w:jc w:val="both"/>
                                <w:rPr>
                                  <w:sz w:val="12"/>
                                  <w:szCs w:val="12"/>
                                </w:rPr>
                              </w:pPr>
                              <w:r w:rsidRPr="004B3E2A">
                                <w:rPr>
                                  <w:sz w:val="12"/>
                                  <w:szCs w:val="12"/>
                                </w:rPr>
                                <w:t>Certificate Number 13024</w:t>
                              </w:r>
                            </w:p>
                            <w:p w14:paraId="156A70F5" w14:textId="77777777" w:rsidR="000B1A6C" w:rsidRPr="004B3E2A" w:rsidRDefault="000B1A6C" w:rsidP="000B1A6C">
                              <w:pPr>
                                <w:spacing w:before="0"/>
                                <w:jc w:val="both"/>
                                <w:rPr>
                                  <w:sz w:val="12"/>
                                  <w:szCs w:val="12"/>
                                </w:rPr>
                              </w:pPr>
                              <w:r w:rsidRPr="004B3E2A">
                                <w:rPr>
                                  <w:sz w:val="12"/>
                                  <w:szCs w:val="12"/>
                                </w:rPr>
                                <w:t>ISO 9001</w:t>
                              </w:r>
                              <w:r>
                                <w:rPr>
                                  <w:sz w:val="12"/>
                                  <w:szCs w:val="12"/>
                                </w:rPr>
                                <w:t xml:space="preserve">, </w:t>
                              </w:r>
                              <w:r w:rsidRPr="004B3E2A">
                                <w:rPr>
                                  <w:sz w:val="12"/>
                                  <w:szCs w:val="12"/>
                                </w:rPr>
                                <w:t>OHSAS 18001</w:t>
                              </w:r>
                              <w:r>
                                <w:rPr>
                                  <w:sz w:val="12"/>
                                  <w:szCs w:val="12"/>
                                </w:rPr>
                                <w:t xml:space="preserve">, </w:t>
                              </w:r>
                              <w:r w:rsidRPr="004B3E2A">
                                <w:rPr>
                                  <w:sz w:val="12"/>
                                  <w:szCs w:val="12"/>
                                </w:rPr>
                                <w:t>ISO 14001</w:t>
                              </w:r>
                            </w:p>
                            <w:p w14:paraId="7BD34D8A" w14:textId="1DD69C15" w:rsidR="000B1A6C" w:rsidRDefault="000B1A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26499" id="_x0000_s1028" type="#_x0000_t202" style="position:absolute;left:0;text-align:left;margin-left:-25.2pt;margin-top:10.3pt;width:131.6pt;height:8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" stroked="f">
                  <v:textbox>
                    <w:txbxContent>
                      <w:p w14:paraId="0C5B709C" w14:textId="77777777" w:rsidR="000B1A6C" w:rsidRPr="0058005F" w:rsidRDefault="000B1A6C" w:rsidP="000B1A6C">
                        <w:pPr>
                          <w:spacing w:before="0"/>
                          <w:rPr>
                            <w:color w:val="FFFFFF" w:themeColor="background1"/>
                            <w14:textFill>
                              <w14:noFill/>
                            </w14:textFill>
                          </w:rPr>
                        </w:pPr>
                        <w:r>
                          <w:rPr>
                            <w:rFonts w:cs="Helvetica 65 Medium"/>
                            <w:b/>
                            <w:noProof/>
                            <w:sz w:val="14"/>
                            <w:szCs w:val="14"/>
                            <w:lang w:eastAsia="en-GB"/>
                          </w:rPr>
                          <w:drawing>
                            <wp:inline distT="0" distB="0" distL="0" distR="0" wp14:anchorId="2F7C2040" wp14:editId="47EE0866">
                              <wp:extent cx="1017917" cy="71858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Rules-for-certs-form-Jan13-v10.bmp"/>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69053" cy="754682"/>
                                      </a:xfrm>
                                      <a:prstGeom prst="rect">
                                        <a:avLst/>
                                      </a:prstGeom>
                                    </pic:spPr>
                                  </pic:pic>
                                </a:graphicData>
                              </a:graphic>
                            </wp:inline>
                          </w:drawing>
                        </w:r>
                      </w:p>
                      <w:p w14:paraId="2AFBB563" w14:textId="77777777" w:rsidR="000B1A6C" w:rsidRPr="004B3E2A" w:rsidRDefault="000B1A6C" w:rsidP="000B1A6C">
                        <w:pPr>
                          <w:spacing w:before="0"/>
                          <w:jc w:val="both"/>
                          <w:rPr>
                            <w:sz w:val="12"/>
                            <w:szCs w:val="12"/>
                          </w:rPr>
                        </w:pPr>
                        <w:r w:rsidRPr="004B3E2A">
                          <w:rPr>
                            <w:sz w:val="12"/>
                            <w:szCs w:val="12"/>
                          </w:rPr>
                          <w:t>Certificate Number 13024</w:t>
                        </w:r>
                      </w:p>
                      <w:p w14:paraId="156A70F5" w14:textId="77777777" w:rsidR="000B1A6C" w:rsidRPr="004B3E2A" w:rsidRDefault="000B1A6C" w:rsidP="000B1A6C">
                        <w:pPr>
                          <w:spacing w:before="0"/>
                          <w:jc w:val="both"/>
                          <w:rPr>
                            <w:sz w:val="12"/>
                            <w:szCs w:val="12"/>
                          </w:rPr>
                        </w:pPr>
                        <w:r w:rsidRPr="004B3E2A">
                          <w:rPr>
                            <w:sz w:val="12"/>
                            <w:szCs w:val="12"/>
                          </w:rPr>
                          <w:t>ISO 9001</w:t>
                        </w:r>
                        <w:r>
                          <w:rPr>
                            <w:sz w:val="12"/>
                            <w:szCs w:val="12"/>
                          </w:rPr>
                          <w:t xml:space="preserve">, </w:t>
                        </w:r>
                        <w:r w:rsidRPr="004B3E2A">
                          <w:rPr>
                            <w:sz w:val="12"/>
                            <w:szCs w:val="12"/>
                          </w:rPr>
                          <w:t>OHSAS 18001</w:t>
                        </w:r>
                        <w:r>
                          <w:rPr>
                            <w:sz w:val="12"/>
                            <w:szCs w:val="12"/>
                          </w:rPr>
                          <w:t xml:space="preserve">, </w:t>
                        </w:r>
                        <w:r w:rsidRPr="004B3E2A">
                          <w:rPr>
                            <w:sz w:val="12"/>
                            <w:szCs w:val="12"/>
                          </w:rPr>
                          <w:t>ISO 14001</w:t>
                        </w:r>
                      </w:p>
                      <w:p w14:paraId="7BD34D8A" w14:textId="1DD69C15" w:rsidR="000B1A6C" w:rsidRDefault="000B1A6C"/>
                    </w:txbxContent>
                  </v:textbox>
                  <w10:wrap type="square"/>
                </v:shape>
              </w:pict>
            </mc:Fallback>
          </mc:AlternateContent>
        </w:r>
        <w:r>
          <w:fldChar w:fldCharType="begin"/>
        </w:r>
        <w:r>
          <w:instrText xml:space="preserve"> PAGE   \* MERGEFORMAT </w:instrText>
        </w:r>
        <w:r>
          <w:fldChar w:fldCharType="separate"/>
        </w:r>
        <w:r w:rsidR="00F5695D">
          <w:rPr>
            <w:noProof/>
          </w:rPr>
          <w:t>1</w:t>
        </w:r>
        <w:r>
          <w:rPr>
            <w:noProof/>
          </w:rPr>
          <w:fldChar w:fldCharType="end"/>
        </w:r>
      </w:p>
    </w:sdtContent>
  </w:sdt>
  <w:p w14:paraId="35AB4055" w14:textId="672C431A" w:rsidR="004650A6" w:rsidRPr="004D316F" w:rsidRDefault="004650A6" w:rsidP="00FD074D">
    <w:pPr>
      <w:pStyle w:val="Footer"/>
      <w:pBdr>
        <w:bottom w:val="single" w:sz="4" w:space="4" w:color="2F1910"/>
      </w:pBdr>
      <w:ind w:left="8618"/>
      <w:jc w:val="right"/>
      <w:rPr>
        <w:rFonts w:ascii="Arial" w:hAnsi="Arial" w:cs="Aharoni"/>
        <w:color w:val="2F191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B9D3D" w14:textId="77777777" w:rsidR="000B1A6C" w:rsidRDefault="000B1A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E638C" w14:textId="77777777" w:rsidR="00F5695D" w:rsidRDefault="00F5695D" w:rsidP="00FD074D">
      <w:pPr>
        <w:spacing w:after="0" w:line="240" w:lineRule="auto"/>
      </w:pPr>
      <w:r>
        <w:separator/>
      </w:r>
    </w:p>
  </w:footnote>
  <w:footnote w:type="continuationSeparator" w:id="0">
    <w:p w14:paraId="4921397D" w14:textId="77777777" w:rsidR="00F5695D" w:rsidRDefault="00F5695D" w:rsidP="00FD07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F525B" w14:textId="77777777" w:rsidR="000B1A6C" w:rsidRDefault="000B1A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FAEF3" w14:textId="77777777" w:rsidR="000B1A6C" w:rsidRDefault="000B1A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E3A05" w14:textId="77777777" w:rsidR="000B1A6C" w:rsidRDefault="000B1A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74652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14C899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E54CB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0EE39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9C4E41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6309A5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E24F2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AA27AB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248225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39E116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2B63E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A2B67"/>
    <w:multiLevelType w:val="hybridMultilevel"/>
    <w:tmpl w:val="05ACEC12"/>
    <w:lvl w:ilvl="0" w:tplc="E77659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71782D"/>
    <w:multiLevelType w:val="multilevel"/>
    <w:tmpl w:val="4F0CF426"/>
    <w:lvl w:ilvl="0">
      <w:start w:val="1"/>
      <w:numFmt w:val="decimal"/>
      <w:lvlText w:val="%1"/>
      <w:lvlJc w:val="left"/>
      <w:pPr>
        <w:ind w:left="360" w:hanging="360"/>
      </w:pPr>
      <w:rPr>
        <w:rFonts w:hint="default"/>
      </w:rPr>
    </w:lvl>
    <w:lvl w:ilvl="1">
      <w:start w:val="1"/>
      <w:numFmt w:val="decimal"/>
      <w:lvlText w:val="%1.%2"/>
      <w:lvlJc w:val="left"/>
      <w:pPr>
        <w:tabs>
          <w:tab w:val="num" w:pos="357"/>
        </w:tabs>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C444F12"/>
    <w:multiLevelType w:val="hybridMultilevel"/>
    <w:tmpl w:val="53485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1BF10D3"/>
    <w:multiLevelType w:val="hybridMultilevel"/>
    <w:tmpl w:val="77F6AA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4194739"/>
    <w:multiLevelType w:val="multilevel"/>
    <w:tmpl w:val="1B3C34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4330F56"/>
    <w:multiLevelType w:val="multilevel"/>
    <w:tmpl w:val="9E92F886"/>
    <w:lvl w:ilvl="0">
      <w:start w:val="1"/>
      <w:numFmt w:val="decimal"/>
      <w:pStyle w:val="SectionandObsTitleHeader"/>
      <w:lvlText w:val="%1"/>
      <w:lvlJc w:val="left"/>
      <w:pPr>
        <w:ind w:left="360" w:hanging="360"/>
      </w:pPr>
      <w:rPr>
        <w:rFonts w:hint="default"/>
        <w:b/>
      </w:rPr>
    </w:lvl>
    <w:lvl w:ilvl="1">
      <w:start w:val="1"/>
      <w:numFmt w:val="decimal"/>
      <w:lvlText w:val="%2."/>
      <w:lvlJc w:val="left"/>
      <w:pPr>
        <w:tabs>
          <w:tab w:val="num" w:pos="357"/>
        </w:tabs>
        <w:ind w:left="0" w:firstLine="0"/>
      </w:pPr>
      <w:rPr>
        <w:rFonts w:hint="default"/>
        <w:b/>
        <w:color w:val="2F191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81E7B72"/>
    <w:multiLevelType w:val="hybridMultilevel"/>
    <w:tmpl w:val="1EAE4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8484820"/>
    <w:multiLevelType w:val="hybridMultilevel"/>
    <w:tmpl w:val="5CDE2D98"/>
    <w:lvl w:ilvl="0" w:tplc="E77659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7B50E7"/>
    <w:multiLevelType w:val="multilevel"/>
    <w:tmpl w:val="C2ACC75C"/>
    <w:lvl w:ilvl="0">
      <w:start w:val="1"/>
      <w:numFmt w:val="decimal"/>
      <w:lvlText w:val="%1"/>
      <w:lvlJc w:val="left"/>
      <w:pPr>
        <w:ind w:left="360" w:hanging="360"/>
      </w:pPr>
      <w:rPr>
        <w:rFonts w:hint="default"/>
      </w:rPr>
    </w:lvl>
    <w:lvl w:ilvl="1">
      <w:start w:val="1"/>
      <w:numFmt w:val="decimal"/>
      <w:lvlText w:val="%2."/>
      <w:lvlJc w:val="left"/>
      <w:pPr>
        <w:tabs>
          <w:tab w:val="num" w:pos="357"/>
        </w:tabs>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2275AA6"/>
    <w:multiLevelType w:val="multilevel"/>
    <w:tmpl w:val="989630FC"/>
    <w:lvl w:ilvl="0">
      <w:start w:val="1"/>
      <w:numFmt w:val="decimal"/>
      <w:lvlText w:val="%1"/>
      <w:lvlJc w:val="left"/>
      <w:pPr>
        <w:ind w:left="360" w:hanging="360"/>
      </w:pPr>
      <w:rPr>
        <w:rFonts w:hint="default"/>
        <w:b/>
      </w:rPr>
    </w:lvl>
    <w:lvl w:ilvl="1">
      <w:start w:val="1"/>
      <w:numFmt w:val="decimal"/>
      <w:lvlText w:val="%1.%2"/>
      <w:lvlJc w:val="left"/>
      <w:pPr>
        <w:tabs>
          <w:tab w:val="num" w:pos="357"/>
        </w:tabs>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52C13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73C0280"/>
    <w:multiLevelType w:val="multilevel"/>
    <w:tmpl w:val="1B3C34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7B373CC"/>
    <w:multiLevelType w:val="multilevel"/>
    <w:tmpl w:val="980C93AE"/>
    <w:lvl w:ilvl="0">
      <w:start w:val="1"/>
      <w:numFmt w:val="decimal"/>
      <w:lvlText w:val="%1."/>
      <w:lvlJc w:val="left"/>
      <w:pPr>
        <w:tabs>
          <w:tab w:val="num" w:pos="737"/>
        </w:tabs>
        <w:ind w:left="737" w:hanging="737"/>
      </w:pPr>
      <w:rPr>
        <w:rFonts w:hint="default"/>
      </w:rPr>
    </w:lvl>
    <w:lvl w:ilvl="1">
      <w:start w:val="1"/>
      <w:numFmt w:val="decimal"/>
      <w:pStyle w:val="Heading2"/>
      <w:lvlText w:val="%1.%2."/>
      <w:lvlJc w:val="left"/>
      <w:pPr>
        <w:tabs>
          <w:tab w:val="num" w:pos="737"/>
        </w:tabs>
        <w:ind w:left="737" w:hanging="737"/>
      </w:pPr>
      <w:rPr>
        <w:rFonts w:hint="default"/>
      </w:rPr>
    </w:lvl>
    <w:lvl w:ilvl="2">
      <w:start w:val="1"/>
      <w:numFmt w:val="decimal"/>
      <w:pStyle w:val="Heading3"/>
      <w:lvlText w:val="%1.%2.%3."/>
      <w:lvlJc w:val="left"/>
      <w:pPr>
        <w:tabs>
          <w:tab w:val="num" w:pos="737"/>
        </w:tabs>
        <w:ind w:left="737" w:hanging="73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D795BA3"/>
    <w:multiLevelType w:val="multilevel"/>
    <w:tmpl w:val="1DB62D3E"/>
    <w:lvl w:ilvl="0">
      <w:start w:val="1"/>
      <w:numFmt w:val="decimal"/>
      <w:lvlText w:val="%1"/>
      <w:lvlJc w:val="left"/>
      <w:pPr>
        <w:ind w:left="360" w:hanging="360"/>
      </w:pPr>
      <w:rPr>
        <w:rFonts w:hint="default"/>
      </w:rPr>
    </w:lvl>
    <w:lvl w:ilvl="1">
      <w:start w:val="1"/>
      <w:numFmt w:val="decimal"/>
      <w:lvlText w:val="%1.%2"/>
      <w:lvlJc w:val="left"/>
      <w:pPr>
        <w:tabs>
          <w:tab w:val="num" w:pos="357"/>
        </w:tabs>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AD76B4"/>
    <w:multiLevelType w:val="hybridMultilevel"/>
    <w:tmpl w:val="5DA29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2C28E9"/>
    <w:multiLevelType w:val="hybridMultilevel"/>
    <w:tmpl w:val="60FE5998"/>
    <w:lvl w:ilvl="0" w:tplc="6AF83FB6">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072C9A"/>
    <w:multiLevelType w:val="hybridMultilevel"/>
    <w:tmpl w:val="A022E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2674DE5"/>
    <w:multiLevelType w:val="hybridMultilevel"/>
    <w:tmpl w:val="11BCC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272162"/>
    <w:multiLevelType w:val="hybridMultilevel"/>
    <w:tmpl w:val="3CB8C852"/>
    <w:lvl w:ilvl="0" w:tplc="658C1818">
      <w:start w:val="1"/>
      <w:numFmt w:val="bullet"/>
      <w:pStyle w:val="Bullet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69F2D82"/>
    <w:multiLevelType w:val="hybridMultilevel"/>
    <w:tmpl w:val="666A7698"/>
    <w:lvl w:ilvl="0" w:tplc="37F41B08">
      <w:start w:val="1"/>
      <w:numFmt w:val="bullet"/>
      <w:pStyle w:val="Bullet3"/>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15:restartNumberingAfterBreak="0">
    <w:nsid w:val="673060F5"/>
    <w:multiLevelType w:val="multilevel"/>
    <w:tmpl w:val="C2ACC75C"/>
    <w:lvl w:ilvl="0">
      <w:start w:val="1"/>
      <w:numFmt w:val="decimal"/>
      <w:lvlText w:val="%1"/>
      <w:lvlJc w:val="left"/>
      <w:pPr>
        <w:ind w:left="360" w:hanging="360"/>
      </w:pPr>
      <w:rPr>
        <w:rFonts w:hint="default"/>
      </w:rPr>
    </w:lvl>
    <w:lvl w:ilvl="1">
      <w:start w:val="1"/>
      <w:numFmt w:val="decimal"/>
      <w:lvlText w:val="%2."/>
      <w:lvlJc w:val="left"/>
      <w:pPr>
        <w:tabs>
          <w:tab w:val="num" w:pos="357"/>
        </w:tabs>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81D5F03"/>
    <w:multiLevelType w:val="hybridMultilevel"/>
    <w:tmpl w:val="8C40F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95A71DE"/>
    <w:multiLevelType w:val="hybridMultilevel"/>
    <w:tmpl w:val="26D07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F223A18"/>
    <w:multiLevelType w:val="multilevel"/>
    <w:tmpl w:val="D7CAE760"/>
    <w:lvl w:ilvl="0">
      <w:start w:val="1"/>
      <w:numFmt w:val="none"/>
      <w:pStyle w:val="HPSmallHeader"/>
      <w:lvlText w:val=""/>
      <w:lvlJc w:val="left"/>
      <w:pPr>
        <w:tabs>
          <w:tab w:val="num" w:pos="0"/>
        </w:tabs>
        <w:ind w:left="0" w:firstLine="0"/>
      </w:pPr>
    </w:lvl>
    <w:lvl w:ilvl="1">
      <w:start w:val="1"/>
      <w:numFmt w:val="decimal"/>
      <w:pStyle w:val="HPSmallHeader"/>
      <w:suff w:val="space"/>
      <w:lvlText w:val="%11.%2."/>
      <w:lvlJc w:val="left"/>
      <w:pPr>
        <w:ind w:left="0" w:firstLine="0"/>
      </w:pPr>
    </w:lvl>
    <w:lvl w:ilvl="2">
      <w:start w:val="1"/>
      <w:numFmt w:val="decimal"/>
      <w:lvlText w:val="%1.%2.%3."/>
      <w:lvlJc w:val="left"/>
      <w:pPr>
        <w:tabs>
          <w:tab w:val="num" w:pos="1021"/>
        </w:tabs>
        <w:ind w:left="1021" w:hanging="1021"/>
      </w:pPr>
    </w:lvl>
    <w:lvl w:ilvl="3">
      <w:start w:val="1"/>
      <w:numFmt w:val="lowerLetter"/>
      <w:lvlText w:val="%1.%2.%3.%4."/>
      <w:lvlJc w:val="left"/>
      <w:pPr>
        <w:tabs>
          <w:tab w:val="num" w:pos="851"/>
        </w:tabs>
        <w:ind w:left="0" w:firstLine="0"/>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15:restartNumberingAfterBreak="0">
    <w:nsid w:val="7061782E"/>
    <w:multiLevelType w:val="hybridMultilevel"/>
    <w:tmpl w:val="8304986A"/>
    <w:lvl w:ilvl="0" w:tplc="C09E2350">
      <w:start w:val="1"/>
      <w:numFmt w:val="bullet"/>
      <w:pStyle w:val="Bullet2"/>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2DB1516"/>
    <w:multiLevelType w:val="hybridMultilevel"/>
    <w:tmpl w:val="1CE6296C"/>
    <w:lvl w:ilvl="0" w:tplc="965E32FC">
      <w:start w:val="1"/>
      <w:numFmt w:val="bullet"/>
      <w:pStyle w:val="Bulletn1"/>
      <w:lvlText w:val=""/>
      <w:lvlJc w:val="left"/>
      <w:pPr>
        <w:ind w:left="1457" w:hanging="360"/>
      </w:pPr>
      <w:rPr>
        <w:rFonts w:ascii="Symbol" w:hAnsi="Symbol" w:hint="default"/>
      </w:rPr>
    </w:lvl>
    <w:lvl w:ilvl="1" w:tplc="04090003">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7" w15:restartNumberingAfterBreak="0">
    <w:nsid w:val="7D5F6BA6"/>
    <w:multiLevelType w:val="hybridMultilevel"/>
    <w:tmpl w:val="02CA3F56"/>
    <w:lvl w:ilvl="0" w:tplc="E77659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3"/>
  </w:num>
  <w:num w:numId="3">
    <w:abstractNumId w:val="26"/>
  </w:num>
  <w:num w:numId="4">
    <w:abstractNumId w:val="29"/>
  </w:num>
  <w:num w:numId="5">
    <w:abstractNumId w:val="35"/>
  </w:num>
  <w:num w:numId="6">
    <w:abstractNumId w:val="30"/>
  </w:num>
  <w:num w:numId="7">
    <w:abstractNumId w:val="36"/>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8"/>
  </w:num>
  <w:num w:numId="11">
    <w:abstractNumId w:val="22"/>
  </w:num>
  <w:num w:numId="12">
    <w:abstractNumId w:val="24"/>
  </w:num>
  <w:num w:numId="13">
    <w:abstractNumId w:val="15"/>
  </w:num>
  <w:num w:numId="14">
    <w:abstractNumId w:val="19"/>
  </w:num>
  <w:num w:numId="15">
    <w:abstractNumId w:val="21"/>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 w:numId="27">
    <w:abstractNumId w:val="23"/>
  </w:num>
  <w:num w:numId="28">
    <w:abstractNumId w:val="23"/>
  </w:num>
  <w:num w:numId="29">
    <w:abstractNumId w:val="23"/>
  </w:num>
  <w:num w:numId="30">
    <w:abstractNumId w:val="20"/>
  </w:num>
  <w:num w:numId="31">
    <w:abstractNumId w:val="16"/>
  </w:num>
  <w:num w:numId="32">
    <w:abstractNumId w:val="12"/>
  </w:num>
  <w:num w:numId="33">
    <w:abstractNumId w:val="31"/>
  </w:num>
  <w:num w:numId="34">
    <w:abstractNumId w:val="14"/>
  </w:num>
  <w:num w:numId="35">
    <w:abstractNumId w:val="27"/>
  </w:num>
  <w:num w:numId="36">
    <w:abstractNumId w:val="33"/>
  </w:num>
  <w:num w:numId="37">
    <w:abstractNumId w:val="13"/>
  </w:num>
  <w:num w:numId="38">
    <w:abstractNumId w:val="17"/>
  </w:num>
  <w:num w:numId="39">
    <w:abstractNumId w:val="32"/>
  </w:num>
  <w:num w:numId="40">
    <w:abstractNumId w:val="11"/>
  </w:num>
  <w:num w:numId="41">
    <w:abstractNumId w:val="37"/>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D2C"/>
    <w:rsid w:val="000006B6"/>
    <w:rsid w:val="00011417"/>
    <w:rsid w:val="00062844"/>
    <w:rsid w:val="0007076C"/>
    <w:rsid w:val="0009495A"/>
    <w:rsid w:val="000A0F71"/>
    <w:rsid w:val="000A54CD"/>
    <w:rsid w:val="000B1A6C"/>
    <w:rsid w:val="000C64E8"/>
    <w:rsid w:val="000F06E6"/>
    <w:rsid w:val="00104331"/>
    <w:rsid w:val="00111A6C"/>
    <w:rsid w:val="0011572F"/>
    <w:rsid w:val="00146499"/>
    <w:rsid w:val="00157BE3"/>
    <w:rsid w:val="001943B9"/>
    <w:rsid w:val="001A2FC2"/>
    <w:rsid w:val="001A393F"/>
    <w:rsid w:val="001C399F"/>
    <w:rsid w:val="001E39FC"/>
    <w:rsid w:val="001E7E97"/>
    <w:rsid w:val="001F7170"/>
    <w:rsid w:val="00206E96"/>
    <w:rsid w:val="00220DD2"/>
    <w:rsid w:val="00224099"/>
    <w:rsid w:val="00242038"/>
    <w:rsid w:val="002540DB"/>
    <w:rsid w:val="00267DBE"/>
    <w:rsid w:val="002750A1"/>
    <w:rsid w:val="002B05E4"/>
    <w:rsid w:val="002C1307"/>
    <w:rsid w:val="002D27B1"/>
    <w:rsid w:val="002E10F0"/>
    <w:rsid w:val="003122D3"/>
    <w:rsid w:val="00320332"/>
    <w:rsid w:val="00362BDC"/>
    <w:rsid w:val="0036441B"/>
    <w:rsid w:val="003A6CC3"/>
    <w:rsid w:val="003B17B2"/>
    <w:rsid w:val="003B5EF4"/>
    <w:rsid w:val="003C0119"/>
    <w:rsid w:val="003E4AB5"/>
    <w:rsid w:val="003E4B1D"/>
    <w:rsid w:val="003E562B"/>
    <w:rsid w:val="003E7CB6"/>
    <w:rsid w:val="00423D47"/>
    <w:rsid w:val="00426A2C"/>
    <w:rsid w:val="00426EF0"/>
    <w:rsid w:val="004650A6"/>
    <w:rsid w:val="00476FE2"/>
    <w:rsid w:val="0049498B"/>
    <w:rsid w:val="004B171E"/>
    <w:rsid w:val="004C4AE0"/>
    <w:rsid w:val="004D11DE"/>
    <w:rsid w:val="004D46A7"/>
    <w:rsid w:val="0054296C"/>
    <w:rsid w:val="00543490"/>
    <w:rsid w:val="00583EE7"/>
    <w:rsid w:val="005B163B"/>
    <w:rsid w:val="005C1225"/>
    <w:rsid w:val="00617793"/>
    <w:rsid w:val="00623547"/>
    <w:rsid w:val="006323AE"/>
    <w:rsid w:val="00672F11"/>
    <w:rsid w:val="0067442F"/>
    <w:rsid w:val="006B3AD6"/>
    <w:rsid w:val="006B5A02"/>
    <w:rsid w:val="006B7597"/>
    <w:rsid w:val="006D3F0D"/>
    <w:rsid w:val="006E5F28"/>
    <w:rsid w:val="006F06BF"/>
    <w:rsid w:val="006F18C8"/>
    <w:rsid w:val="006F3493"/>
    <w:rsid w:val="00704EA8"/>
    <w:rsid w:val="0072685C"/>
    <w:rsid w:val="0075087B"/>
    <w:rsid w:val="00763FD8"/>
    <w:rsid w:val="007642AC"/>
    <w:rsid w:val="00765423"/>
    <w:rsid w:val="007A38EC"/>
    <w:rsid w:val="007C6AA8"/>
    <w:rsid w:val="007D19A4"/>
    <w:rsid w:val="007D4135"/>
    <w:rsid w:val="007D679B"/>
    <w:rsid w:val="00807A5F"/>
    <w:rsid w:val="008102E4"/>
    <w:rsid w:val="00833660"/>
    <w:rsid w:val="0083420A"/>
    <w:rsid w:val="008467EF"/>
    <w:rsid w:val="00867F71"/>
    <w:rsid w:val="00875925"/>
    <w:rsid w:val="008A146D"/>
    <w:rsid w:val="008A56E8"/>
    <w:rsid w:val="008C0F82"/>
    <w:rsid w:val="008D2621"/>
    <w:rsid w:val="008F47D1"/>
    <w:rsid w:val="00906D51"/>
    <w:rsid w:val="00927974"/>
    <w:rsid w:val="00932A6D"/>
    <w:rsid w:val="00955DEB"/>
    <w:rsid w:val="009654CA"/>
    <w:rsid w:val="009700F1"/>
    <w:rsid w:val="00985E9C"/>
    <w:rsid w:val="00986181"/>
    <w:rsid w:val="009914C2"/>
    <w:rsid w:val="009A0C2A"/>
    <w:rsid w:val="009A6F1F"/>
    <w:rsid w:val="009B1AD9"/>
    <w:rsid w:val="009F25F9"/>
    <w:rsid w:val="009F63BD"/>
    <w:rsid w:val="00A050DC"/>
    <w:rsid w:val="00AB62B4"/>
    <w:rsid w:val="00AF7F24"/>
    <w:rsid w:val="00B039ED"/>
    <w:rsid w:val="00B0723E"/>
    <w:rsid w:val="00B434BD"/>
    <w:rsid w:val="00B5681B"/>
    <w:rsid w:val="00B871E2"/>
    <w:rsid w:val="00BB5D2C"/>
    <w:rsid w:val="00BD3FBB"/>
    <w:rsid w:val="00BF11F7"/>
    <w:rsid w:val="00BF3F08"/>
    <w:rsid w:val="00C35161"/>
    <w:rsid w:val="00C60069"/>
    <w:rsid w:val="00C9305C"/>
    <w:rsid w:val="00C96F63"/>
    <w:rsid w:val="00CB1853"/>
    <w:rsid w:val="00CE50D0"/>
    <w:rsid w:val="00D35032"/>
    <w:rsid w:val="00D36BAB"/>
    <w:rsid w:val="00D76E24"/>
    <w:rsid w:val="00D77CCB"/>
    <w:rsid w:val="00D81788"/>
    <w:rsid w:val="00DA0866"/>
    <w:rsid w:val="00DA51A4"/>
    <w:rsid w:val="00DD26AF"/>
    <w:rsid w:val="00DE15D3"/>
    <w:rsid w:val="00E02CB1"/>
    <w:rsid w:val="00E15479"/>
    <w:rsid w:val="00E330B2"/>
    <w:rsid w:val="00E36C6F"/>
    <w:rsid w:val="00E57590"/>
    <w:rsid w:val="00EA1D49"/>
    <w:rsid w:val="00EA3EC5"/>
    <w:rsid w:val="00EA4893"/>
    <w:rsid w:val="00EB0C6D"/>
    <w:rsid w:val="00EC5C31"/>
    <w:rsid w:val="00ED6C98"/>
    <w:rsid w:val="00EF3B03"/>
    <w:rsid w:val="00F37E6F"/>
    <w:rsid w:val="00F5695D"/>
    <w:rsid w:val="00F72121"/>
    <w:rsid w:val="00FA2BC6"/>
    <w:rsid w:val="00FA57FB"/>
    <w:rsid w:val="00FD074D"/>
    <w:rsid w:val="00FD1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AB4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2E10F0"/>
    <w:pPr>
      <w:spacing w:before="180" w:after="60" w:line="288" w:lineRule="auto"/>
      <w:ind w:right="284"/>
    </w:pPr>
    <w:rPr>
      <w:rFonts w:ascii="Arial" w:hAnsi="Arial"/>
      <w:color w:val="2F1910"/>
      <w:szCs w:val="22"/>
      <w:lang w:eastAsia="en-US"/>
    </w:rPr>
  </w:style>
  <w:style w:type="paragraph" w:styleId="Heading1">
    <w:name w:val="heading 1"/>
    <w:basedOn w:val="Normal"/>
    <w:next w:val="Normal"/>
    <w:link w:val="Heading1Char"/>
    <w:uiPriority w:val="9"/>
    <w:qFormat/>
    <w:rsid w:val="00FA19BE"/>
    <w:pPr>
      <w:pBdr>
        <w:bottom w:val="single" w:sz="4" w:space="4" w:color="402313"/>
      </w:pBdr>
      <w:spacing w:before="360" w:after="0"/>
      <w:outlineLvl w:val="0"/>
    </w:pPr>
    <w:rPr>
      <w:rFonts w:eastAsia="Times New Roman"/>
      <w:bCs/>
      <w:color w:val="22120D"/>
      <w:sz w:val="32"/>
      <w:szCs w:val="28"/>
      <w:lang w:val="x-none" w:eastAsia="x-none"/>
    </w:rPr>
  </w:style>
  <w:style w:type="paragraph" w:styleId="Heading2">
    <w:name w:val="heading 2"/>
    <w:basedOn w:val="Normal"/>
    <w:next w:val="Subtitle"/>
    <w:link w:val="Heading2Char"/>
    <w:uiPriority w:val="9"/>
    <w:qFormat/>
    <w:rsid w:val="002803F6"/>
    <w:pPr>
      <w:numPr>
        <w:ilvl w:val="1"/>
        <w:numId w:val="1"/>
      </w:numPr>
      <w:spacing w:before="120"/>
      <w:outlineLvl w:val="1"/>
    </w:pPr>
    <w:rPr>
      <w:rFonts w:eastAsia="Times New Roman"/>
      <w:b/>
      <w:bCs/>
      <w:color w:val="auto"/>
      <w:sz w:val="28"/>
      <w:szCs w:val="26"/>
      <w:lang w:val="x-none" w:eastAsia="x-none"/>
    </w:rPr>
  </w:style>
  <w:style w:type="paragraph" w:styleId="Heading3">
    <w:name w:val="heading 3"/>
    <w:basedOn w:val="Normal"/>
    <w:next w:val="Subtitle"/>
    <w:link w:val="Heading3Char"/>
    <w:uiPriority w:val="9"/>
    <w:qFormat/>
    <w:rsid w:val="002803F6"/>
    <w:pPr>
      <w:numPr>
        <w:ilvl w:val="2"/>
        <w:numId w:val="1"/>
      </w:numPr>
      <w:spacing w:before="120" w:after="0"/>
      <w:outlineLvl w:val="2"/>
    </w:pPr>
    <w:rPr>
      <w:rFonts w:ascii="Calibri" w:eastAsia="Times New Roman" w:hAnsi="Calibri"/>
      <w:b/>
      <w:bCs/>
      <w:color w:val="auto"/>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A19BE"/>
    <w:rPr>
      <w:rFonts w:ascii="Arial" w:eastAsia="Times New Roman" w:hAnsi="Arial"/>
      <w:bCs/>
      <w:color w:val="22120D"/>
      <w:sz w:val="32"/>
      <w:szCs w:val="28"/>
      <w:lang w:val="x-none" w:eastAsia="x-none"/>
    </w:rPr>
  </w:style>
  <w:style w:type="character" w:customStyle="1" w:styleId="Heading3Char">
    <w:name w:val="Heading 3 Char"/>
    <w:link w:val="Heading3"/>
    <w:uiPriority w:val="9"/>
    <w:rsid w:val="004500CA"/>
    <w:rPr>
      <w:rFonts w:eastAsia="Times New Roman"/>
      <w:b/>
      <w:bCs/>
      <w:sz w:val="22"/>
      <w:szCs w:val="22"/>
      <w:lang w:val="x-none"/>
    </w:rPr>
  </w:style>
  <w:style w:type="paragraph" w:styleId="Subtitle">
    <w:name w:val="Subtitle"/>
    <w:aliases w:val="Normal (after numbered heading)"/>
    <w:link w:val="SubtitleChar"/>
    <w:uiPriority w:val="8"/>
    <w:qFormat/>
    <w:rsid w:val="00B23F1E"/>
    <w:pPr>
      <w:spacing w:after="120" w:line="276" w:lineRule="auto"/>
      <w:ind w:left="737"/>
      <w:jc w:val="both"/>
    </w:pPr>
    <w:rPr>
      <w:rFonts w:ascii="Trebuchet MS" w:eastAsia="Times New Roman" w:hAnsi="Trebuchet MS"/>
      <w:iCs/>
      <w:sz w:val="22"/>
      <w:szCs w:val="24"/>
      <w:lang w:val="en-US" w:eastAsia="en-US"/>
    </w:rPr>
  </w:style>
  <w:style w:type="character" w:customStyle="1" w:styleId="SubtitleChar">
    <w:name w:val="Subtitle Char"/>
    <w:aliases w:val="Normal (after numbered heading) Char"/>
    <w:link w:val="Subtitle"/>
    <w:uiPriority w:val="8"/>
    <w:rsid w:val="00B91D56"/>
    <w:rPr>
      <w:rFonts w:ascii="Trebuchet MS" w:eastAsia="Times New Roman" w:hAnsi="Trebuchet MS"/>
      <w:iCs/>
      <w:sz w:val="22"/>
      <w:szCs w:val="24"/>
      <w:lang w:val="en-US" w:eastAsia="en-US" w:bidi="ar-SA"/>
    </w:rPr>
  </w:style>
  <w:style w:type="character" w:customStyle="1" w:styleId="Heading2Char">
    <w:name w:val="Heading 2 Char"/>
    <w:link w:val="Heading2"/>
    <w:uiPriority w:val="9"/>
    <w:rsid w:val="004500CA"/>
    <w:rPr>
      <w:rFonts w:ascii="Arial" w:eastAsia="Times New Roman" w:hAnsi="Arial"/>
      <w:b/>
      <w:bCs/>
      <w:sz w:val="28"/>
      <w:szCs w:val="26"/>
      <w:lang w:val="x-none"/>
    </w:rPr>
  </w:style>
  <w:style w:type="paragraph" w:customStyle="1" w:styleId="Heading1withoutnumber">
    <w:name w:val="Heading 1 without number"/>
    <w:basedOn w:val="Heading1"/>
    <w:next w:val="Normal"/>
    <w:uiPriority w:val="1"/>
    <w:qFormat/>
    <w:rsid w:val="006504A6"/>
  </w:style>
  <w:style w:type="paragraph" w:customStyle="1" w:styleId="Heading2withoutnumber">
    <w:name w:val="Heading 2 without number"/>
    <w:basedOn w:val="Heading2"/>
    <w:next w:val="Normal"/>
    <w:uiPriority w:val="2"/>
    <w:qFormat/>
    <w:rsid w:val="006504A6"/>
    <w:pPr>
      <w:numPr>
        <w:ilvl w:val="0"/>
        <w:numId w:val="0"/>
      </w:numPr>
    </w:pPr>
  </w:style>
  <w:style w:type="paragraph" w:customStyle="1" w:styleId="Heading3withoutnumbers">
    <w:name w:val="Heading 3 without numbers"/>
    <w:basedOn w:val="Heading3"/>
    <w:next w:val="Normal"/>
    <w:uiPriority w:val="3"/>
    <w:qFormat/>
    <w:rsid w:val="006504A6"/>
    <w:pPr>
      <w:numPr>
        <w:ilvl w:val="0"/>
        <w:numId w:val="0"/>
      </w:numPr>
    </w:pPr>
  </w:style>
  <w:style w:type="paragraph" w:customStyle="1" w:styleId="ColorfulList-Accent11">
    <w:name w:val="Colorful List - Accent 11"/>
    <w:basedOn w:val="Normal"/>
    <w:uiPriority w:val="34"/>
    <w:semiHidden/>
    <w:unhideWhenUsed/>
    <w:qFormat/>
    <w:rsid w:val="00B23F1E"/>
    <w:pPr>
      <w:numPr>
        <w:numId w:val="3"/>
      </w:numPr>
      <w:contextualSpacing/>
    </w:pPr>
  </w:style>
  <w:style w:type="paragraph" w:customStyle="1" w:styleId="Bullet1">
    <w:name w:val="Bullet 1"/>
    <w:basedOn w:val="ColorfulList-Accent11"/>
    <w:uiPriority w:val="6"/>
    <w:qFormat/>
    <w:rsid w:val="004500CA"/>
    <w:pPr>
      <w:numPr>
        <w:numId w:val="4"/>
      </w:numPr>
      <w:contextualSpacing w:val="0"/>
    </w:pPr>
  </w:style>
  <w:style w:type="paragraph" w:customStyle="1" w:styleId="Bullet2">
    <w:name w:val="Bullet 2"/>
    <w:basedOn w:val="Bullet1"/>
    <w:uiPriority w:val="7"/>
    <w:qFormat/>
    <w:rsid w:val="003B6F6F"/>
    <w:pPr>
      <w:numPr>
        <w:numId w:val="5"/>
      </w:numPr>
      <w:ind w:left="709"/>
    </w:pPr>
  </w:style>
  <w:style w:type="paragraph" w:customStyle="1" w:styleId="Bullet3">
    <w:name w:val="Bullet 3"/>
    <w:basedOn w:val="Bullet2"/>
    <w:uiPriority w:val="8"/>
    <w:qFormat/>
    <w:rsid w:val="00B23F1E"/>
    <w:pPr>
      <w:numPr>
        <w:numId w:val="6"/>
      </w:numPr>
    </w:pPr>
  </w:style>
  <w:style w:type="paragraph" w:customStyle="1" w:styleId="Bulletn1">
    <w:name w:val="Bullet n1"/>
    <w:basedOn w:val="Bullet1"/>
    <w:uiPriority w:val="11"/>
    <w:qFormat/>
    <w:rsid w:val="003B6F6F"/>
    <w:pPr>
      <w:numPr>
        <w:numId w:val="7"/>
      </w:numPr>
      <w:ind w:left="1134"/>
    </w:pPr>
  </w:style>
  <w:style w:type="paragraph" w:customStyle="1" w:styleId="Bulletn2">
    <w:name w:val="Bullet n2"/>
    <w:basedOn w:val="Bullet2"/>
    <w:uiPriority w:val="12"/>
    <w:qFormat/>
    <w:rsid w:val="003B6F6F"/>
    <w:pPr>
      <w:ind w:left="1560"/>
    </w:pPr>
  </w:style>
  <w:style w:type="paragraph" w:customStyle="1" w:styleId="Bulletn3">
    <w:name w:val="Bullet n3"/>
    <w:basedOn w:val="Bullet3"/>
    <w:uiPriority w:val="13"/>
    <w:qFormat/>
    <w:rsid w:val="003B6F6F"/>
    <w:pPr>
      <w:ind w:left="1843"/>
    </w:pPr>
  </w:style>
  <w:style w:type="paragraph" w:styleId="Header">
    <w:name w:val="header"/>
    <w:basedOn w:val="Normal"/>
    <w:link w:val="HeaderChar"/>
    <w:uiPriority w:val="99"/>
    <w:unhideWhenUsed/>
    <w:rsid w:val="00534610"/>
    <w:pPr>
      <w:tabs>
        <w:tab w:val="center" w:pos="4513"/>
        <w:tab w:val="right" w:pos="9026"/>
      </w:tabs>
    </w:pPr>
    <w:rPr>
      <w:rFonts w:ascii="Trebuchet MS" w:eastAsia="Times New Roman" w:hAnsi="Trebuchet MS"/>
      <w:color w:val="auto"/>
      <w:sz w:val="22"/>
      <w:lang w:val="x-none" w:bidi="en-US"/>
    </w:rPr>
  </w:style>
  <w:style w:type="character" w:customStyle="1" w:styleId="HeaderChar">
    <w:name w:val="Header Char"/>
    <w:link w:val="Header"/>
    <w:uiPriority w:val="99"/>
    <w:rsid w:val="00534610"/>
    <w:rPr>
      <w:rFonts w:ascii="Trebuchet MS" w:eastAsia="Times New Roman" w:hAnsi="Trebuchet MS"/>
      <w:sz w:val="22"/>
      <w:szCs w:val="22"/>
      <w:lang w:eastAsia="en-US" w:bidi="en-US"/>
    </w:rPr>
  </w:style>
  <w:style w:type="paragraph" w:styleId="Footer">
    <w:name w:val="footer"/>
    <w:basedOn w:val="Normal"/>
    <w:link w:val="FooterChar"/>
    <w:uiPriority w:val="99"/>
    <w:unhideWhenUsed/>
    <w:rsid w:val="00534610"/>
    <w:pPr>
      <w:tabs>
        <w:tab w:val="center" w:pos="4513"/>
        <w:tab w:val="right" w:pos="9026"/>
      </w:tabs>
    </w:pPr>
    <w:rPr>
      <w:rFonts w:ascii="Trebuchet MS" w:eastAsia="Times New Roman" w:hAnsi="Trebuchet MS"/>
      <w:color w:val="auto"/>
      <w:sz w:val="22"/>
      <w:lang w:val="x-none" w:bidi="en-US"/>
    </w:rPr>
  </w:style>
  <w:style w:type="character" w:customStyle="1" w:styleId="FooterChar">
    <w:name w:val="Footer Char"/>
    <w:link w:val="Footer"/>
    <w:uiPriority w:val="99"/>
    <w:rsid w:val="00534610"/>
    <w:rPr>
      <w:rFonts w:ascii="Trebuchet MS" w:eastAsia="Times New Roman" w:hAnsi="Trebuchet MS"/>
      <w:sz w:val="22"/>
      <w:szCs w:val="22"/>
      <w:lang w:eastAsia="en-US" w:bidi="en-US"/>
    </w:rPr>
  </w:style>
  <w:style w:type="character" w:styleId="Hyperlink">
    <w:name w:val="Hyperlink"/>
    <w:uiPriority w:val="99"/>
    <w:unhideWhenUsed/>
    <w:rsid w:val="00534610"/>
    <w:rPr>
      <w:color w:val="0000FF"/>
      <w:u w:val="single"/>
    </w:rPr>
  </w:style>
  <w:style w:type="table" w:styleId="TableGrid">
    <w:name w:val="Table Grid"/>
    <w:basedOn w:val="TableNormal"/>
    <w:rsid w:val="001703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9C1A98"/>
    <w:pPr>
      <w:spacing w:after="0" w:line="240" w:lineRule="auto"/>
    </w:pPr>
    <w:rPr>
      <w:rFonts w:ascii="Tahoma" w:hAnsi="Tahoma"/>
      <w:color w:val="auto"/>
      <w:sz w:val="16"/>
      <w:szCs w:val="16"/>
      <w:lang w:val="x-none"/>
    </w:rPr>
  </w:style>
  <w:style w:type="character" w:customStyle="1" w:styleId="BalloonTextChar">
    <w:name w:val="Balloon Text Char"/>
    <w:link w:val="BalloonText"/>
    <w:uiPriority w:val="99"/>
    <w:semiHidden/>
    <w:rsid w:val="009C1A98"/>
    <w:rPr>
      <w:rFonts w:ascii="Tahoma" w:hAnsi="Tahoma" w:cs="Tahoma"/>
      <w:sz w:val="16"/>
      <w:szCs w:val="16"/>
      <w:lang w:eastAsia="en-US"/>
    </w:rPr>
  </w:style>
  <w:style w:type="character" w:styleId="CommentReference">
    <w:name w:val="annotation reference"/>
    <w:semiHidden/>
    <w:unhideWhenUsed/>
    <w:rsid w:val="001C297B"/>
    <w:rPr>
      <w:sz w:val="16"/>
      <w:szCs w:val="16"/>
    </w:rPr>
  </w:style>
  <w:style w:type="paragraph" w:styleId="CommentText">
    <w:name w:val="annotation text"/>
    <w:basedOn w:val="Normal"/>
    <w:link w:val="CommentTextChar"/>
    <w:uiPriority w:val="99"/>
    <w:semiHidden/>
    <w:unhideWhenUsed/>
    <w:rsid w:val="001C297B"/>
    <w:rPr>
      <w:rFonts w:ascii="Calibri" w:hAnsi="Calibri"/>
      <w:color w:val="auto"/>
      <w:szCs w:val="20"/>
      <w:lang w:val="x-none"/>
    </w:rPr>
  </w:style>
  <w:style w:type="character" w:customStyle="1" w:styleId="CommentTextChar">
    <w:name w:val="Comment Text Char"/>
    <w:link w:val="CommentText"/>
    <w:uiPriority w:val="99"/>
    <w:semiHidden/>
    <w:rsid w:val="001C297B"/>
    <w:rPr>
      <w:lang w:eastAsia="en-US"/>
    </w:rPr>
  </w:style>
  <w:style w:type="paragraph" w:styleId="CommentSubject">
    <w:name w:val="annotation subject"/>
    <w:basedOn w:val="CommentText"/>
    <w:next w:val="CommentText"/>
    <w:link w:val="CommentSubjectChar"/>
    <w:uiPriority w:val="99"/>
    <w:semiHidden/>
    <w:unhideWhenUsed/>
    <w:rsid w:val="001C297B"/>
    <w:rPr>
      <w:b/>
      <w:bCs/>
    </w:rPr>
  </w:style>
  <w:style w:type="character" w:customStyle="1" w:styleId="CommentSubjectChar">
    <w:name w:val="Comment Subject Char"/>
    <w:link w:val="CommentSubject"/>
    <w:uiPriority w:val="99"/>
    <w:semiHidden/>
    <w:rsid w:val="001C297B"/>
    <w:rPr>
      <w:b/>
      <w:bCs/>
      <w:lang w:eastAsia="en-US"/>
    </w:rPr>
  </w:style>
  <w:style w:type="paragraph" w:styleId="FootnoteText">
    <w:name w:val="footnote text"/>
    <w:basedOn w:val="Normal"/>
    <w:link w:val="FootnoteTextChar"/>
    <w:uiPriority w:val="99"/>
    <w:semiHidden/>
    <w:unhideWhenUsed/>
    <w:rsid w:val="00511613"/>
    <w:rPr>
      <w:rFonts w:ascii="Calibri" w:hAnsi="Calibri"/>
      <w:color w:val="auto"/>
      <w:szCs w:val="20"/>
      <w:lang w:val="x-none"/>
    </w:rPr>
  </w:style>
  <w:style w:type="character" w:customStyle="1" w:styleId="FootnoteTextChar">
    <w:name w:val="Footnote Text Char"/>
    <w:link w:val="FootnoteText"/>
    <w:uiPriority w:val="99"/>
    <w:semiHidden/>
    <w:rsid w:val="00511613"/>
    <w:rPr>
      <w:lang w:eastAsia="en-US"/>
    </w:rPr>
  </w:style>
  <w:style w:type="character" w:styleId="FootnoteReference">
    <w:name w:val="footnote reference"/>
    <w:uiPriority w:val="99"/>
    <w:semiHidden/>
    <w:unhideWhenUsed/>
    <w:rsid w:val="00511613"/>
    <w:rPr>
      <w:vertAlign w:val="superscript"/>
    </w:rPr>
  </w:style>
  <w:style w:type="paragraph" w:customStyle="1" w:styleId="ColorfulShading-Accent11">
    <w:name w:val="Colorful Shading - Accent 11"/>
    <w:hidden/>
    <w:uiPriority w:val="99"/>
    <w:semiHidden/>
    <w:rsid w:val="0086588D"/>
    <w:rPr>
      <w:sz w:val="22"/>
      <w:szCs w:val="22"/>
      <w:lang w:eastAsia="en-US"/>
    </w:rPr>
  </w:style>
  <w:style w:type="paragraph" w:styleId="NormalIndent">
    <w:name w:val="Normal Indent"/>
    <w:basedOn w:val="Normal"/>
    <w:rsid w:val="00470915"/>
    <w:pPr>
      <w:spacing w:after="120" w:line="240" w:lineRule="auto"/>
      <w:ind w:left="851"/>
    </w:pPr>
    <w:rPr>
      <w:rFonts w:ascii="Univers" w:eastAsia="Times New Roman" w:hAnsi="Univers"/>
      <w:sz w:val="24"/>
      <w:szCs w:val="24"/>
    </w:rPr>
  </w:style>
  <w:style w:type="paragraph" w:customStyle="1" w:styleId="Uniacnormal">
    <w:name w:val="Uniac normal"/>
    <w:basedOn w:val="Normal"/>
    <w:link w:val="UniacnormalChar"/>
    <w:qFormat/>
    <w:rsid w:val="00743A17"/>
    <w:pPr>
      <w:spacing w:after="120"/>
    </w:pPr>
    <w:rPr>
      <w:color w:val="auto"/>
      <w:sz w:val="22"/>
      <w:lang w:val="x-none" w:eastAsia="x-none"/>
    </w:rPr>
  </w:style>
  <w:style w:type="character" w:customStyle="1" w:styleId="UniacnormalChar">
    <w:name w:val="Uniac normal Char"/>
    <w:link w:val="Uniacnormal"/>
    <w:rsid w:val="00743A17"/>
    <w:rPr>
      <w:rFonts w:ascii="Arial" w:hAnsi="Arial"/>
      <w:sz w:val="22"/>
      <w:szCs w:val="22"/>
      <w:lang w:val="x-none"/>
    </w:rPr>
  </w:style>
  <w:style w:type="paragraph" w:customStyle="1" w:styleId="HPSmallHeader">
    <w:name w:val="HPSmallHeader"/>
    <w:rsid w:val="00470915"/>
    <w:pPr>
      <w:numPr>
        <w:ilvl w:val="1"/>
        <w:numId w:val="8"/>
      </w:numPr>
    </w:pPr>
    <w:rPr>
      <w:rFonts w:ascii="Trebuchet MS" w:eastAsia="Times New Roman" w:hAnsi="Trebuchet MS" w:cs="Arial"/>
      <w:b/>
      <w:bCs/>
      <w:color w:val="999999"/>
      <w:kern w:val="32"/>
      <w:sz w:val="28"/>
      <w:szCs w:val="32"/>
      <w:lang w:eastAsia="en-US"/>
    </w:rPr>
  </w:style>
  <w:style w:type="table" w:customStyle="1" w:styleId="TableGrid1">
    <w:name w:val="Table Grid1"/>
    <w:basedOn w:val="TableNormal"/>
    <w:next w:val="TableGrid"/>
    <w:uiPriority w:val="59"/>
    <w:rsid w:val="005D5F9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
    <w:name w:val="Calendar 2"/>
    <w:basedOn w:val="TableNormal"/>
    <w:uiPriority w:val="99"/>
    <w:qFormat/>
    <w:rsid w:val="007664DA"/>
    <w:pPr>
      <w:jc w:val="center"/>
    </w:pPr>
    <w:rPr>
      <w:rFonts w:eastAsia="Times New Roman"/>
      <w:sz w:val="28"/>
      <w:szCs w:val="28"/>
      <w:lang w:val="en-US" w:eastAsia="en-US" w:bidi="en-US"/>
    </w:rPr>
    <w:tblPr>
      <w:tblBorders>
        <w:insideV w:val="single" w:sz="4" w:space="0" w:color="95B3D7"/>
      </w:tblBorders>
    </w:tblPr>
    <w:tblStylePr w:type="firstRow">
      <w:rPr>
        <w:rFonts w:ascii="Wingdings" w:eastAsia="Times New Roman" w:hAnsi="Wingdings"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customStyle="1" w:styleId="SectionandObsTitleHeader">
    <w:name w:val="Section and Obs Title Header"/>
    <w:basedOn w:val="Heading1"/>
    <w:link w:val="SectionandObsTitleHeaderChar"/>
    <w:qFormat/>
    <w:rsid w:val="000A54CD"/>
    <w:pPr>
      <w:numPr>
        <w:numId w:val="31"/>
      </w:numPr>
    </w:pPr>
  </w:style>
  <w:style w:type="character" w:customStyle="1" w:styleId="SectionandObsTitleHeaderChar">
    <w:name w:val="Section and Obs Title Header Char"/>
    <w:link w:val="SectionandObsTitleHeader"/>
    <w:rsid w:val="000A54CD"/>
    <w:rPr>
      <w:rFonts w:ascii="Arial" w:eastAsia="Times New Roman" w:hAnsi="Arial"/>
      <w:bCs/>
      <w:color w:val="22120D"/>
      <w:sz w:val="32"/>
      <w:szCs w:val="28"/>
      <w:lang w:val="x-none" w:eastAsia="x-none"/>
    </w:rPr>
  </w:style>
  <w:style w:type="character" w:styleId="PlaceholderText">
    <w:name w:val="Placeholder Text"/>
    <w:basedOn w:val="DefaultParagraphFont"/>
    <w:uiPriority w:val="99"/>
    <w:unhideWhenUsed/>
    <w:rsid w:val="004650A6"/>
    <w:rPr>
      <w:color w:val="808080"/>
    </w:rPr>
  </w:style>
  <w:style w:type="table" w:customStyle="1" w:styleId="TableGrid2">
    <w:name w:val="Table Grid2"/>
    <w:basedOn w:val="TableNormal"/>
    <w:next w:val="TableGrid"/>
    <w:locked/>
    <w:rsid w:val="009700F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4893"/>
    <w:pPr>
      <w:ind w:left="720"/>
      <w:contextualSpacing/>
    </w:pPr>
  </w:style>
  <w:style w:type="paragraph" w:styleId="NormalWeb">
    <w:name w:val="Normal (Web)"/>
    <w:basedOn w:val="Normal"/>
    <w:uiPriority w:val="99"/>
    <w:unhideWhenUsed/>
    <w:rsid w:val="00BF3F08"/>
    <w:pPr>
      <w:spacing w:before="100" w:beforeAutospacing="1" w:after="100" w:afterAutospacing="1" w:line="240" w:lineRule="auto"/>
      <w:ind w:right="0"/>
    </w:pPr>
    <w:rPr>
      <w:rFonts w:ascii="Times New Roman" w:eastAsia="Times New Roman" w:hAnsi="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20084">
      <w:bodyDiv w:val="1"/>
      <w:marLeft w:val="0"/>
      <w:marRight w:val="0"/>
      <w:marTop w:val="0"/>
      <w:marBottom w:val="0"/>
      <w:divBdr>
        <w:top w:val="none" w:sz="0" w:space="0" w:color="auto"/>
        <w:left w:val="none" w:sz="0" w:space="0" w:color="auto"/>
        <w:bottom w:val="none" w:sz="0" w:space="0" w:color="auto"/>
        <w:right w:val="none" w:sz="0" w:space="0" w:color="auto"/>
      </w:divBdr>
      <w:divsChild>
        <w:div w:id="761881164">
          <w:marLeft w:val="0"/>
          <w:marRight w:val="0"/>
          <w:marTop w:val="0"/>
          <w:marBottom w:val="0"/>
          <w:divBdr>
            <w:top w:val="none" w:sz="0" w:space="0" w:color="auto"/>
            <w:left w:val="none" w:sz="0" w:space="0" w:color="auto"/>
            <w:bottom w:val="none" w:sz="0" w:space="0" w:color="auto"/>
            <w:right w:val="none" w:sz="0" w:space="0" w:color="auto"/>
          </w:divBdr>
          <w:divsChild>
            <w:div w:id="520239696">
              <w:marLeft w:val="0"/>
              <w:marRight w:val="0"/>
              <w:marTop w:val="0"/>
              <w:marBottom w:val="0"/>
              <w:divBdr>
                <w:top w:val="none" w:sz="0" w:space="0" w:color="auto"/>
                <w:left w:val="none" w:sz="0" w:space="0" w:color="auto"/>
                <w:bottom w:val="none" w:sz="0" w:space="0" w:color="auto"/>
                <w:right w:val="none" w:sz="0" w:space="0" w:color="auto"/>
              </w:divBdr>
              <w:divsChild>
                <w:div w:id="217782768">
                  <w:marLeft w:val="0"/>
                  <w:marRight w:val="0"/>
                  <w:marTop w:val="0"/>
                  <w:marBottom w:val="0"/>
                  <w:divBdr>
                    <w:top w:val="none" w:sz="0" w:space="0" w:color="auto"/>
                    <w:left w:val="none" w:sz="0" w:space="0" w:color="auto"/>
                    <w:bottom w:val="none" w:sz="0" w:space="0" w:color="auto"/>
                    <w:right w:val="none" w:sz="0" w:space="0" w:color="auto"/>
                  </w:divBdr>
                  <w:divsChild>
                    <w:div w:id="499778537">
                      <w:marLeft w:val="0"/>
                      <w:marRight w:val="0"/>
                      <w:marTop w:val="0"/>
                      <w:marBottom w:val="0"/>
                      <w:divBdr>
                        <w:top w:val="none" w:sz="0" w:space="0" w:color="auto"/>
                        <w:left w:val="none" w:sz="0" w:space="0" w:color="auto"/>
                        <w:bottom w:val="none" w:sz="0" w:space="0" w:color="auto"/>
                        <w:right w:val="none" w:sz="0" w:space="0" w:color="auto"/>
                      </w:divBdr>
                      <w:divsChild>
                        <w:div w:id="1871600413">
                          <w:marLeft w:val="0"/>
                          <w:marRight w:val="0"/>
                          <w:marTop w:val="0"/>
                          <w:marBottom w:val="0"/>
                          <w:divBdr>
                            <w:top w:val="none" w:sz="0" w:space="0" w:color="auto"/>
                            <w:left w:val="none" w:sz="0" w:space="0" w:color="auto"/>
                            <w:bottom w:val="none" w:sz="0" w:space="0" w:color="auto"/>
                            <w:right w:val="none" w:sz="0" w:space="0" w:color="auto"/>
                          </w:divBdr>
                          <w:divsChild>
                            <w:div w:id="11614812">
                              <w:marLeft w:val="0"/>
                              <w:marRight w:val="0"/>
                              <w:marTop w:val="0"/>
                              <w:marBottom w:val="0"/>
                              <w:divBdr>
                                <w:top w:val="none" w:sz="0" w:space="0" w:color="auto"/>
                                <w:left w:val="none" w:sz="0" w:space="0" w:color="auto"/>
                                <w:bottom w:val="none" w:sz="0" w:space="0" w:color="auto"/>
                                <w:right w:val="none" w:sz="0" w:space="0" w:color="auto"/>
                              </w:divBdr>
                              <w:divsChild>
                                <w:div w:id="1454396772">
                                  <w:marLeft w:val="0"/>
                                  <w:marRight w:val="0"/>
                                  <w:marTop w:val="0"/>
                                  <w:marBottom w:val="0"/>
                                  <w:divBdr>
                                    <w:top w:val="none" w:sz="0" w:space="0" w:color="auto"/>
                                    <w:left w:val="none" w:sz="0" w:space="0" w:color="auto"/>
                                    <w:bottom w:val="none" w:sz="0" w:space="0" w:color="auto"/>
                                    <w:right w:val="none" w:sz="0" w:space="0" w:color="auto"/>
                                  </w:divBdr>
                                  <w:divsChild>
                                    <w:div w:id="172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040215">
      <w:bodyDiv w:val="1"/>
      <w:marLeft w:val="0"/>
      <w:marRight w:val="0"/>
      <w:marTop w:val="0"/>
      <w:marBottom w:val="0"/>
      <w:divBdr>
        <w:top w:val="none" w:sz="0" w:space="0" w:color="auto"/>
        <w:left w:val="none" w:sz="0" w:space="0" w:color="auto"/>
        <w:bottom w:val="none" w:sz="0" w:space="0" w:color="auto"/>
        <w:right w:val="none" w:sz="0" w:space="0" w:color="auto"/>
      </w:divBdr>
      <w:divsChild>
        <w:div w:id="31931104">
          <w:marLeft w:val="0"/>
          <w:marRight w:val="0"/>
          <w:marTop w:val="0"/>
          <w:marBottom w:val="0"/>
          <w:divBdr>
            <w:top w:val="none" w:sz="0" w:space="0" w:color="auto"/>
            <w:left w:val="none" w:sz="0" w:space="0" w:color="auto"/>
            <w:bottom w:val="none" w:sz="0" w:space="0" w:color="auto"/>
            <w:right w:val="none" w:sz="0" w:space="0" w:color="auto"/>
          </w:divBdr>
          <w:divsChild>
            <w:div w:id="1695813329">
              <w:marLeft w:val="0"/>
              <w:marRight w:val="0"/>
              <w:marTop w:val="0"/>
              <w:marBottom w:val="0"/>
              <w:divBdr>
                <w:top w:val="none" w:sz="0" w:space="0" w:color="auto"/>
                <w:left w:val="none" w:sz="0" w:space="0" w:color="auto"/>
                <w:bottom w:val="none" w:sz="0" w:space="0" w:color="auto"/>
                <w:right w:val="none" w:sz="0" w:space="0" w:color="auto"/>
              </w:divBdr>
              <w:divsChild>
                <w:div w:id="519973803">
                  <w:marLeft w:val="0"/>
                  <w:marRight w:val="0"/>
                  <w:marTop w:val="0"/>
                  <w:marBottom w:val="0"/>
                  <w:divBdr>
                    <w:top w:val="none" w:sz="0" w:space="0" w:color="auto"/>
                    <w:left w:val="none" w:sz="0" w:space="0" w:color="auto"/>
                    <w:bottom w:val="none" w:sz="0" w:space="0" w:color="auto"/>
                    <w:right w:val="none" w:sz="0" w:space="0" w:color="auto"/>
                  </w:divBdr>
                  <w:divsChild>
                    <w:div w:id="550072288">
                      <w:marLeft w:val="0"/>
                      <w:marRight w:val="0"/>
                      <w:marTop w:val="0"/>
                      <w:marBottom w:val="0"/>
                      <w:divBdr>
                        <w:top w:val="none" w:sz="0" w:space="0" w:color="auto"/>
                        <w:left w:val="none" w:sz="0" w:space="0" w:color="auto"/>
                        <w:bottom w:val="none" w:sz="0" w:space="0" w:color="auto"/>
                        <w:right w:val="none" w:sz="0" w:space="0" w:color="auto"/>
                      </w:divBdr>
                      <w:divsChild>
                        <w:div w:id="863053677">
                          <w:marLeft w:val="0"/>
                          <w:marRight w:val="0"/>
                          <w:marTop w:val="0"/>
                          <w:marBottom w:val="0"/>
                          <w:divBdr>
                            <w:top w:val="none" w:sz="0" w:space="0" w:color="auto"/>
                            <w:left w:val="none" w:sz="0" w:space="0" w:color="auto"/>
                            <w:bottom w:val="none" w:sz="0" w:space="0" w:color="auto"/>
                            <w:right w:val="none" w:sz="0" w:space="0" w:color="auto"/>
                          </w:divBdr>
                          <w:divsChild>
                            <w:div w:id="1792243258">
                              <w:marLeft w:val="0"/>
                              <w:marRight w:val="0"/>
                              <w:marTop w:val="0"/>
                              <w:marBottom w:val="0"/>
                              <w:divBdr>
                                <w:top w:val="none" w:sz="0" w:space="0" w:color="auto"/>
                                <w:left w:val="none" w:sz="0" w:space="0" w:color="auto"/>
                                <w:bottom w:val="none" w:sz="0" w:space="0" w:color="auto"/>
                                <w:right w:val="none" w:sz="0" w:space="0" w:color="auto"/>
                              </w:divBdr>
                              <w:divsChild>
                                <w:div w:id="662053219">
                                  <w:marLeft w:val="0"/>
                                  <w:marRight w:val="0"/>
                                  <w:marTop w:val="0"/>
                                  <w:marBottom w:val="0"/>
                                  <w:divBdr>
                                    <w:top w:val="none" w:sz="0" w:space="0" w:color="auto"/>
                                    <w:left w:val="none" w:sz="0" w:space="0" w:color="auto"/>
                                    <w:bottom w:val="none" w:sz="0" w:space="0" w:color="auto"/>
                                    <w:right w:val="none" w:sz="0" w:space="0" w:color="auto"/>
                                  </w:divBdr>
                                  <w:divsChild>
                                    <w:div w:id="15235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442693">
      <w:bodyDiv w:val="1"/>
      <w:marLeft w:val="0"/>
      <w:marRight w:val="0"/>
      <w:marTop w:val="0"/>
      <w:marBottom w:val="0"/>
      <w:divBdr>
        <w:top w:val="none" w:sz="0" w:space="0" w:color="auto"/>
        <w:left w:val="none" w:sz="0" w:space="0" w:color="auto"/>
        <w:bottom w:val="none" w:sz="0" w:space="0" w:color="auto"/>
        <w:right w:val="none" w:sz="0" w:space="0" w:color="auto"/>
      </w:divBdr>
    </w:div>
    <w:div w:id="1251937476">
      <w:bodyDiv w:val="1"/>
      <w:marLeft w:val="0"/>
      <w:marRight w:val="0"/>
      <w:marTop w:val="0"/>
      <w:marBottom w:val="0"/>
      <w:divBdr>
        <w:top w:val="none" w:sz="0" w:space="0" w:color="auto"/>
        <w:left w:val="none" w:sz="0" w:space="0" w:color="auto"/>
        <w:bottom w:val="none" w:sz="0" w:space="0" w:color="auto"/>
        <w:right w:val="none" w:sz="0" w:space="0" w:color="auto"/>
      </w:divBdr>
      <w:divsChild>
        <w:div w:id="261914561">
          <w:marLeft w:val="0"/>
          <w:marRight w:val="0"/>
          <w:marTop w:val="0"/>
          <w:marBottom w:val="0"/>
          <w:divBdr>
            <w:top w:val="none" w:sz="0" w:space="0" w:color="auto"/>
            <w:left w:val="none" w:sz="0" w:space="0" w:color="auto"/>
            <w:bottom w:val="none" w:sz="0" w:space="0" w:color="auto"/>
            <w:right w:val="none" w:sz="0" w:space="0" w:color="auto"/>
          </w:divBdr>
          <w:divsChild>
            <w:div w:id="1009410625">
              <w:marLeft w:val="0"/>
              <w:marRight w:val="0"/>
              <w:marTop w:val="0"/>
              <w:marBottom w:val="0"/>
              <w:divBdr>
                <w:top w:val="none" w:sz="0" w:space="0" w:color="auto"/>
                <w:left w:val="none" w:sz="0" w:space="0" w:color="auto"/>
                <w:bottom w:val="none" w:sz="0" w:space="0" w:color="auto"/>
                <w:right w:val="none" w:sz="0" w:space="0" w:color="auto"/>
              </w:divBdr>
              <w:divsChild>
                <w:div w:id="1691100301">
                  <w:marLeft w:val="0"/>
                  <w:marRight w:val="0"/>
                  <w:marTop w:val="0"/>
                  <w:marBottom w:val="0"/>
                  <w:divBdr>
                    <w:top w:val="none" w:sz="0" w:space="0" w:color="auto"/>
                    <w:left w:val="none" w:sz="0" w:space="0" w:color="auto"/>
                    <w:bottom w:val="none" w:sz="0" w:space="0" w:color="auto"/>
                    <w:right w:val="none" w:sz="0" w:space="0" w:color="auto"/>
                  </w:divBdr>
                  <w:divsChild>
                    <w:div w:id="2140763781">
                      <w:marLeft w:val="0"/>
                      <w:marRight w:val="0"/>
                      <w:marTop w:val="0"/>
                      <w:marBottom w:val="0"/>
                      <w:divBdr>
                        <w:top w:val="none" w:sz="0" w:space="0" w:color="auto"/>
                        <w:left w:val="none" w:sz="0" w:space="0" w:color="auto"/>
                        <w:bottom w:val="none" w:sz="0" w:space="0" w:color="auto"/>
                        <w:right w:val="none" w:sz="0" w:space="0" w:color="auto"/>
                      </w:divBdr>
                      <w:divsChild>
                        <w:div w:id="1855877942">
                          <w:marLeft w:val="0"/>
                          <w:marRight w:val="0"/>
                          <w:marTop w:val="0"/>
                          <w:marBottom w:val="0"/>
                          <w:divBdr>
                            <w:top w:val="none" w:sz="0" w:space="0" w:color="auto"/>
                            <w:left w:val="none" w:sz="0" w:space="0" w:color="auto"/>
                            <w:bottom w:val="none" w:sz="0" w:space="0" w:color="auto"/>
                            <w:right w:val="none" w:sz="0" w:space="0" w:color="auto"/>
                          </w:divBdr>
                          <w:divsChild>
                            <w:div w:id="1538740029">
                              <w:marLeft w:val="0"/>
                              <w:marRight w:val="0"/>
                              <w:marTop w:val="0"/>
                              <w:marBottom w:val="0"/>
                              <w:divBdr>
                                <w:top w:val="none" w:sz="0" w:space="0" w:color="auto"/>
                                <w:left w:val="none" w:sz="0" w:space="0" w:color="auto"/>
                                <w:bottom w:val="none" w:sz="0" w:space="0" w:color="auto"/>
                                <w:right w:val="none" w:sz="0" w:space="0" w:color="auto"/>
                              </w:divBdr>
                              <w:divsChild>
                                <w:div w:id="1665671222">
                                  <w:marLeft w:val="0"/>
                                  <w:marRight w:val="0"/>
                                  <w:marTop w:val="0"/>
                                  <w:marBottom w:val="0"/>
                                  <w:divBdr>
                                    <w:top w:val="none" w:sz="0" w:space="0" w:color="auto"/>
                                    <w:left w:val="none" w:sz="0" w:space="0" w:color="auto"/>
                                    <w:bottom w:val="none" w:sz="0" w:space="0" w:color="auto"/>
                                    <w:right w:val="none" w:sz="0" w:space="0" w:color="auto"/>
                                  </w:divBdr>
                                  <w:divsChild>
                                    <w:div w:id="20692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750360">
      <w:bodyDiv w:val="1"/>
      <w:marLeft w:val="0"/>
      <w:marRight w:val="0"/>
      <w:marTop w:val="0"/>
      <w:marBottom w:val="0"/>
      <w:divBdr>
        <w:top w:val="none" w:sz="0" w:space="0" w:color="auto"/>
        <w:left w:val="none" w:sz="0" w:space="0" w:color="auto"/>
        <w:bottom w:val="none" w:sz="0" w:space="0" w:color="auto"/>
        <w:right w:val="none" w:sz="0" w:space="0" w:color="auto"/>
      </w:divBdr>
    </w:div>
    <w:div w:id="1523978476">
      <w:bodyDiv w:val="1"/>
      <w:marLeft w:val="0"/>
      <w:marRight w:val="0"/>
      <w:marTop w:val="0"/>
      <w:marBottom w:val="0"/>
      <w:divBdr>
        <w:top w:val="none" w:sz="0" w:space="0" w:color="auto"/>
        <w:left w:val="none" w:sz="0" w:space="0" w:color="auto"/>
        <w:bottom w:val="none" w:sz="0" w:space="0" w:color="auto"/>
        <w:right w:val="none" w:sz="0" w:space="0" w:color="auto"/>
      </w:divBdr>
    </w:div>
    <w:div w:id="1699769314">
      <w:bodyDiv w:val="1"/>
      <w:marLeft w:val="0"/>
      <w:marRight w:val="0"/>
      <w:marTop w:val="0"/>
      <w:marBottom w:val="0"/>
      <w:divBdr>
        <w:top w:val="none" w:sz="0" w:space="0" w:color="auto"/>
        <w:left w:val="none" w:sz="0" w:space="0" w:color="auto"/>
        <w:bottom w:val="none" w:sz="0" w:space="0" w:color="auto"/>
        <w:right w:val="none" w:sz="0" w:space="0" w:color="auto"/>
      </w:divBdr>
    </w:div>
    <w:div w:id="2123726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uniac.co.uk"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brown@uniac.co.uk"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30b996a-0b3b-4edf-90bb-ea2544bf0a94">46CCR2Z3NFDT-68-268</_dlc_DocId>
    <_dlc_DocIdUrl xmlns="630b996a-0b3b-4edf-90bb-ea2544bf0a94">
      <Url>https://uniac.sharepoint.com/_layouts/15/DocIdRedir.aspx?ID=46CCR2Z3NFDT-68-268</Url>
      <Description>46CCR2Z3NFDT-68-268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C1194AC0077FF4DAA6F80288665D39D" ma:contentTypeVersion="2" ma:contentTypeDescription="Create a new document." ma:contentTypeScope="" ma:versionID="7ab55cf51c9603208425632ad038212e">
  <xsd:schema xmlns:xsd="http://www.w3.org/2001/XMLSchema" xmlns:xs="http://www.w3.org/2001/XMLSchema" xmlns:p="http://schemas.microsoft.com/office/2006/metadata/properties" xmlns:ns2="630b996a-0b3b-4edf-90bb-ea2544bf0a94" targetNamespace="http://schemas.microsoft.com/office/2006/metadata/properties" ma:root="true" ma:fieldsID="c80b1e8e33bc14791870f8fda1745344" ns2:_="">
    <xsd:import namespace="630b996a-0b3b-4edf-90bb-ea2544bf0a9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0b996a-0b3b-4edf-90bb-ea2544bf0a9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001ED-A673-44A0-B421-C51E58679EFC}">
  <ds:schemaRefs>
    <ds:schemaRef ds:uri="http://schemas.microsoft.com/office/2006/metadata/properties"/>
    <ds:schemaRef ds:uri="http://schemas.microsoft.com/office/infopath/2007/PartnerControls"/>
    <ds:schemaRef ds:uri="630b996a-0b3b-4edf-90bb-ea2544bf0a94"/>
  </ds:schemaRefs>
</ds:datastoreItem>
</file>

<file path=customXml/itemProps2.xml><?xml version="1.0" encoding="utf-8"?>
<ds:datastoreItem xmlns:ds="http://schemas.openxmlformats.org/officeDocument/2006/customXml" ds:itemID="{73FF5913-8B8B-4923-8004-3740CF60ADF6}">
  <ds:schemaRefs>
    <ds:schemaRef ds:uri="http://schemas.microsoft.com/sharepoint/v3/contenttype/forms"/>
  </ds:schemaRefs>
</ds:datastoreItem>
</file>

<file path=customXml/itemProps3.xml><?xml version="1.0" encoding="utf-8"?>
<ds:datastoreItem xmlns:ds="http://schemas.openxmlformats.org/officeDocument/2006/customXml" ds:itemID="{A9161B74-1DDF-47C5-8613-C8250466D5A3}">
  <ds:schemaRefs>
    <ds:schemaRef ds:uri="http://schemas.microsoft.com/sharepoint/events"/>
  </ds:schemaRefs>
</ds:datastoreItem>
</file>

<file path=customXml/itemProps4.xml><?xml version="1.0" encoding="utf-8"?>
<ds:datastoreItem xmlns:ds="http://schemas.openxmlformats.org/officeDocument/2006/customXml" ds:itemID="{44C10441-A5EF-474E-978E-EA934563D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0b996a-0b3b-4edf-90bb-ea2544bf0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217AD2F-0F4D-4D6A-B0BE-33AD0F0D6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2335</Words>
  <Characters>13314</Characters>
  <Application>Microsoft Office Word</Application>
  <DocSecurity>0</DocSecurity>
  <Lines>110</Lines>
  <Paragraphs>31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How can we help? </vt:lpstr>
    </vt:vector>
  </TitlesOfParts>
  <LinksUpToDate>false</LinksUpToDate>
  <CharactersWithSpaces>15618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2017-05-22T06:39:00Z</dcterms:created>
  <dcterms:modified xsi:type="dcterms:W3CDTF">2017-05-22T06:39:00Z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dit Title">
    <vt:lpwstr>IT/Capital</vt:lpwstr>
  </property>
  <property fmtid="{D5CDD505-2E9C-101B-9397-08002B2CF9AE}" pid="3" name="Order">
    <vt:lpwstr>1666800.00000000</vt:lpwstr>
  </property>
  <property fmtid="{D5CDD505-2E9C-101B-9397-08002B2CF9AE}" pid="4" name="Academic Year">
    <vt:lpwstr>2012-13</vt:lpwstr>
  </property>
  <property fmtid="{D5CDD505-2E9C-101B-9397-08002B2CF9AE}" pid="5" name="EmailTo">
    <vt:lpwstr/>
  </property>
  <property fmtid="{D5CDD505-2E9C-101B-9397-08002B2CF9AE}" pid="6" name="EmailSender">
    <vt:lpwstr/>
  </property>
  <property fmtid="{D5CDD505-2E9C-101B-9397-08002B2CF9AE}" pid="7" name="Auditor(s)">
    <vt:lpwstr>40;#REMOTE\smaccario</vt:lpwstr>
  </property>
  <property fmtid="{D5CDD505-2E9C-101B-9397-08002B2CF9AE}" pid="8" name="EmailFrom">
    <vt:lpwstr/>
  </property>
  <property fmtid="{D5CDD505-2E9C-101B-9397-08002B2CF9AE}" pid="9" name="Member">
    <vt:lpwstr>Sunderland</vt:lpwstr>
  </property>
  <property fmtid="{D5CDD505-2E9C-101B-9397-08002B2CF9AE}" pid="10" name="ContentTypeId">
    <vt:lpwstr>0x010100DC1194AC0077FF4DAA6F80288665D39D</vt:lpwstr>
  </property>
  <property fmtid="{D5CDD505-2E9C-101B-9397-08002B2CF9AE}" pid="11" name="Audit Category">
    <vt:lpwstr>;#Marketing;#</vt:lpwstr>
  </property>
  <property fmtid="{D5CDD505-2E9C-101B-9397-08002B2CF9AE}" pid="12" name="b8cd05419a444d75bfff9e0c2db541bd">
    <vt:lpwstr>Cumbria|abfee0a5-d33c-410a-977b-e2fe285493a7</vt:lpwstr>
  </property>
  <property fmtid="{D5CDD505-2E9C-101B-9397-08002B2CF9AE}" pid="13" name="Document Type">
    <vt:lpwstr>Draft Report</vt:lpwstr>
  </property>
  <property fmtid="{D5CDD505-2E9C-101B-9397-08002B2CF9AE}" pid="14" name="EmailSubject">
    <vt:lpwstr/>
  </property>
  <property fmtid="{D5CDD505-2E9C-101B-9397-08002B2CF9AE}" pid="15" name="Additional Description">
    <vt:lpwstr>Discussion Document, observations need to be re-ordered (2.3 needs to become 2.1)</vt:lpwstr>
  </property>
  <property fmtid="{D5CDD505-2E9C-101B-9397-08002B2CF9AE}" pid="16" name="Other Auditors">
    <vt:lpwstr>21;#Kirsty Lewis</vt:lpwstr>
  </property>
  <property fmtid="{D5CDD505-2E9C-101B-9397-08002B2CF9AE}" pid="17" name="2007-20012 Audit Category">
    <vt:lpwstr>;#IT Audit;#</vt:lpwstr>
  </property>
  <property fmtid="{D5CDD505-2E9C-101B-9397-08002B2CF9AE}" pid="18" name="Lead Auditor">
    <vt:lpwstr>27;#Ian Musgrave</vt:lpwstr>
  </property>
  <property fmtid="{D5CDD505-2E9C-101B-9397-08002B2CF9AE}" pid="19" name="EmailCc">
    <vt:lpwstr/>
  </property>
  <property fmtid="{D5CDD505-2E9C-101B-9397-08002B2CF9AE}" pid="20" name="_dlc_DocIdItemGuid">
    <vt:lpwstr>9ff1be7c-c234-4609-925d-d843403c6d4c</vt:lpwstr>
  </property>
</Properties>
</file>